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0"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65"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12" w:lineRule="exact"/>
        <w:rPr>
          <w:sz w:val="24"/>
          <w:szCs w:val="24"/>
          <w:color w:val="auto"/>
        </w:rPr>
      </w:pPr>
    </w:p>
    <w:p>
      <w:pPr>
        <w:ind w:left="460"/>
        <w:spacing w:after="0"/>
        <w:tabs>
          <w:tab w:leader="none" w:pos="220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001-40598</w:t>
      </w:r>
    </w:p>
    <w:p>
      <w:pPr>
        <w:spacing w:after="0" w:line="28"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ZURA BIO LIMITED</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167"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73"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2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66"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1489 W. Warm Springs Rd. #110</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98-1725736</w:t>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264" w:lineRule="exact"/>
        <w:rPr>
          <w:sz w:val="24"/>
          <w:szCs w:val="24"/>
          <w:color w:val="auto"/>
        </w:rPr>
      </w:pPr>
    </w:p>
    <w:p>
      <w:pPr>
        <w:sectPr>
          <w:pgSz w:w="11900" w:h="16838" w:orient="portrait"/>
          <w:cols w:equalWidth="0" w:num="2">
            <w:col w:w="7660" w:space="720"/>
            <w:col w:w="2860"/>
          </w:cols>
          <w:pgMar w:left="320" w:top="229" w:right="339" w:bottom="1440" w:gutter="0" w:footer="0" w:header="0"/>
          <w:type w:val="continuous"/>
        </w:sectPr>
      </w:pPr>
    </w:p>
    <w:tbl>
      <w:tblPr>
        <w:tblLayout w:type="fixed"/>
        <w:tblInd w:w="880" w:type="dxa"/>
        <w:tblCellMar>
          <w:top w:w="0" w:type="dxa"/>
          <w:left w:w="0" w:type="dxa"/>
          <w:bottom w:w="0" w:type="dxa"/>
          <w:right w:w="0" w:type="dxa"/>
        </w:tblCellMar>
      </w:tblPr>
      <w:tr>
        <w:trPr>
          <w:trHeight w:val="216"/>
        </w:trPr>
        <w:tc>
          <w:tcPr>
            <w:tcW w:w="5220" w:type="dxa"/>
            <w:vAlign w:val="bottom"/>
          </w:tcPr>
          <w:p>
            <w:pPr>
              <w:jc w:val="center"/>
              <w:ind w:right="2439"/>
              <w:spacing w:after="0"/>
              <w:rPr>
                <w:sz w:val="20"/>
                <w:szCs w:val="20"/>
                <w:color w:val="auto"/>
              </w:rPr>
            </w:pPr>
            <w:r>
              <w:rPr>
                <w:rFonts w:ascii="Times New Roman" w:cs="Times New Roman" w:eastAsia="Times New Roman" w:hAnsi="Times New Roman"/>
                <w:sz w:val="16"/>
                <w:szCs w:val="16"/>
                <w:b w:val="1"/>
                <w:bCs w:val="1"/>
                <w:color w:val="auto"/>
              </w:rPr>
              <w:t>Henderson, NV</w:t>
            </w:r>
          </w:p>
        </w:tc>
        <w:tc>
          <w:tcPr>
            <w:tcW w:w="3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89014</w:t>
            </w:r>
          </w:p>
        </w:tc>
      </w:tr>
      <w:tr>
        <w:trPr>
          <w:trHeight w:val="256"/>
        </w:trPr>
        <w:tc>
          <w:tcPr>
            <w:tcW w:w="5220" w:type="dxa"/>
            <w:vAlign w:val="bottom"/>
          </w:tcPr>
          <w:p>
            <w:pPr>
              <w:jc w:val="center"/>
              <w:ind w:right="24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28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(702) 825-9872</w:t>
      </w:r>
    </w:p>
    <w:p>
      <w:pPr>
        <w:spacing w:after="0" w:line="1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Pr>
          <w:p>
            <w:pPr>
              <w:spacing w:after="0"/>
              <w:rPr>
                <w:sz w:val="16"/>
                <w:szCs w:val="16"/>
                <w:color w:val="auto"/>
              </w:rPr>
            </w:pPr>
          </w:p>
        </w:tc>
      </w:tr>
      <w:tr>
        <w:trPr>
          <w:trHeight w:val="323"/>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80" w:type="dxa"/>
            <w:vAlign w:val="bottom"/>
          </w:tcPr>
          <w:p>
            <w:pPr>
              <w:spacing w:after="0"/>
              <w:rPr>
                <w:sz w:val="24"/>
                <w:szCs w:val="24"/>
                <w:color w:val="auto"/>
              </w:rPr>
            </w:pPr>
          </w:p>
        </w:tc>
      </w:tr>
      <w:tr>
        <w:trPr>
          <w:trHeight w:val="204"/>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55"/>
        </w:trPr>
        <w:tc>
          <w:tcPr>
            <w:tcW w:w="47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0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ZURA</w:t>
            </w:r>
          </w:p>
        </w:tc>
        <w:tc>
          <w:tcPr>
            <w:tcW w:w="44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r>
    </w:tbl>
    <w:p>
      <w:pPr>
        <w:spacing w:after="0" w:line="59" w:lineRule="exact"/>
        <w:rPr>
          <w:sz w:val="24"/>
          <w:szCs w:val="24"/>
          <w:color w:val="auto"/>
        </w:rPr>
      </w:pPr>
    </w:p>
    <w:p>
      <w:pPr>
        <w:jc w:val="both"/>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8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ind w:right="360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27, 2026, the registrant had 96,325,411 Class A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800100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40" w:type="dxa"/>
            <w:vAlign w:val="bottom"/>
            <w:gridSpan w:val="5"/>
          </w:tcPr>
          <w:p>
            <w:pPr>
              <w:spacing w:after="0"/>
              <w:rPr>
                <w:sz w:val="19"/>
                <w:szCs w:val="19"/>
                <w:color w:val="auto"/>
              </w:rPr>
            </w:pPr>
          </w:p>
        </w:tc>
        <w:tc>
          <w:tcPr>
            <w:tcW w:w="41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20" w:type="dxa"/>
            <w:vAlign w:val="bottom"/>
            <w:gridSpan w:val="6"/>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0" w:type="dxa"/>
            <w:vAlign w:val="bottom"/>
            <w:gridSpan w:val="4"/>
          </w:tcPr>
          <w:p>
            <w:pPr>
              <w:spacing w:after="0"/>
              <w:rPr>
                <w:sz w:val="19"/>
                <w:szCs w:val="19"/>
                <w:color w:val="auto"/>
              </w:rPr>
            </w:pPr>
          </w:p>
        </w:tc>
        <w:tc>
          <w:tcPr>
            <w:tcW w:w="1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660" w:type="dxa"/>
            <w:vAlign w:val="bottom"/>
            <w:gridSpan w:val="14"/>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500" w:type="dxa"/>
            <w:vAlign w:val="bottom"/>
            <w:gridSpan w:val="8"/>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Redeemable Noncontrolling Interest and Shareholders’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9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600" w:type="dxa"/>
            <w:vAlign w:val="bottom"/>
            <w:gridSpan w:val="4"/>
          </w:tcPr>
          <w:p>
            <w:pPr>
              <w:spacing w:after="0"/>
              <w:rPr>
                <w:sz w:val="19"/>
                <w:szCs w:val="19"/>
                <w:color w:val="auto"/>
              </w:rPr>
            </w:pP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0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120" w:type="dxa"/>
            <w:vAlign w:val="bottom"/>
          </w:tcPr>
          <w:p>
            <w:pPr>
              <w:spacing w:after="0"/>
              <w:rPr>
                <w:sz w:val="19"/>
                <w:szCs w:val="19"/>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4"/>
          </w:tcPr>
          <w:p>
            <w:pPr>
              <w:spacing w:after="0"/>
              <w:rPr>
                <w:sz w:val="19"/>
                <w:szCs w:val="19"/>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00" w:type="dxa"/>
            <w:vAlign w:val="bottom"/>
            <w:gridSpan w:val="4"/>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1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4"/>
          </w:tcPr>
          <w:p>
            <w:pPr>
              <w:spacing w:after="0"/>
              <w:rPr>
                <w:sz w:val="19"/>
                <w:szCs w:val="19"/>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72"/>
        </w:trPr>
        <w:tc>
          <w:tcPr>
            <w:tcW w:w="1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93"/>
        </w:trPr>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0" w:type="dxa"/>
            <w:vAlign w:val="bottom"/>
            <w:tcBorders>
              <w:top w:val="single" w:sz="8" w:color="0000FF"/>
            </w:tcBorders>
          </w:tcPr>
          <w:p>
            <w:pPr>
              <w:spacing w:after="0"/>
              <w:rPr>
                <w:sz w:val="24"/>
                <w:szCs w:val="24"/>
                <w:color w:val="auto"/>
              </w:rPr>
            </w:pPr>
          </w:p>
        </w:tc>
        <w:tc>
          <w:tcPr>
            <w:tcW w:w="580" w:type="dxa"/>
            <w:vAlign w:val="bottom"/>
            <w:gridSpan w:val="3"/>
          </w:tcPr>
          <w:p>
            <w:pPr>
              <w:spacing w:after="0"/>
              <w:rPr>
                <w:sz w:val="24"/>
                <w:szCs w:val="24"/>
                <w:color w:val="auto"/>
              </w:rPr>
            </w:pP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8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120" w:type="dxa"/>
            <w:vAlign w:val="bottom"/>
          </w:tcPr>
          <w:p>
            <w:pPr>
              <w:spacing w:after="0"/>
              <w:rPr>
                <w:sz w:val="19"/>
                <w:szCs w:val="19"/>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40" w:type="dxa"/>
            <w:vAlign w:val="bottom"/>
            <w:tcBorders>
              <w:top w:val="single" w:sz="8" w:color="0000FF"/>
            </w:tcBorders>
            <w:gridSpan w:val="3"/>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19"/>
                <w:szCs w:val="19"/>
                <w:color w:val="auto"/>
              </w:rPr>
            </w:pPr>
          </w:p>
        </w:tc>
        <w:tc>
          <w:tcPr>
            <w:tcW w:w="4820" w:type="dxa"/>
            <w:vAlign w:val="bottom"/>
            <w:gridSpan w:val="5"/>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1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4"/>
          </w:tcPr>
          <w:p>
            <w:pPr>
              <w:spacing w:after="0"/>
              <w:rPr>
                <w:sz w:val="19"/>
                <w:szCs w:val="19"/>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120" w:type="dxa"/>
            <w:vAlign w:val="bottom"/>
          </w:tcPr>
          <w:p>
            <w:pPr>
              <w:spacing w:after="0"/>
              <w:rPr>
                <w:sz w:val="19"/>
                <w:szCs w:val="19"/>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4"/>
          </w:tcPr>
          <w:p>
            <w:pPr>
              <w:spacing w:after="0"/>
              <w:rPr>
                <w:sz w:val="19"/>
                <w:szCs w:val="19"/>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13"/>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120" w:type="dxa"/>
            <w:vAlign w:val="bottom"/>
          </w:tcPr>
          <w:p>
            <w:pPr>
              <w:spacing w:after="0"/>
              <w:rPr>
                <w:sz w:val="19"/>
                <w:szCs w:val="19"/>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00" w:type="dxa"/>
            <w:vAlign w:val="bottom"/>
            <w:gridSpan w:val="4"/>
          </w:tcPr>
          <w:p>
            <w:pPr>
              <w:spacing w:after="0"/>
              <w:rPr>
                <w:sz w:val="19"/>
                <w:szCs w:val="19"/>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19"/>
                <w:szCs w:val="19"/>
                <w:color w:val="auto"/>
              </w:rPr>
            </w:pPr>
          </w:p>
        </w:tc>
        <w:tc>
          <w:tcPr>
            <w:tcW w:w="7840" w:type="dxa"/>
            <w:vAlign w:val="bottom"/>
            <w:gridSpan w:val="15"/>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120" w:type="dxa"/>
            <w:vAlign w:val="bottom"/>
          </w:tcPr>
          <w:p>
            <w:pPr>
              <w:spacing w:after="0"/>
              <w:rPr>
                <w:sz w:val="19"/>
                <w:szCs w:val="19"/>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89" w:lineRule="exact"/>
        <w:rPr>
          <w:sz w:val="20"/>
          <w:szCs w:val="20"/>
          <w:color w:val="auto"/>
        </w:rPr>
      </w:pPr>
    </w:p>
    <w:p>
      <w:pPr>
        <w:jc w:val="both"/>
        <w:ind w:left="180" w:firstLine="324"/>
        <w:spacing w:after="0" w:line="250"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of Zura Bio Limited (the “Company” or “Zura”) and its management and are inherently subject to uncertainties and changes in circumstances and their potential effects and speak only as of the date of such statements.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77" w:lineRule="exact"/>
        <w:rPr>
          <w:sz w:val="20"/>
          <w:szCs w:val="20"/>
          <w:color w:val="auto"/>
        </w:rPr>
      </w:pPr>
    </w:p>
    <w:p>
      <w:pPr>
        <w:ind w:left="840" w:hanging="328"/>
        <w:spacing w:after="0" w:line="266"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 candidates and their related benefits, and our beliefs regarding competing product candidates or approved products, may not be achieved;</w:t>
      </w:r>
    </w:p>
    <w:p>
      <w:pPr>
        <w:spacing w:after="0" w:line="175"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vision and strategy may not be successful;</w:t>
      </w:r>
    </w:p>
    <w:p>
      <w:pPr>
        <w:spacing w:after="0" w:line="211" w:lineRule="exact"/>
        <w:rPr>
          <w:rFonts w:ascii="Times New Roman" w:cs="Times New Roman" w:eastAsia="Times New Roman" w:hAnsi="Times New Roman"/>
          <w:sz w:val="18"/>
          <w:szCs w:val="18"/>
          <w:color w:val="auto"/>
        </w:rPr>
      </w:pPr>
    </w:p>
    <w:p>
      <w:pPr>
        <w:ind w:left="840" w:hanging="328"/>
        <w:spacing w:after="0" w:line="266"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key events and initiation of our studies and release of clinical data may take longer than anticipated or may not be achieved at all;</w:t>
      </w:r>
    </w:p>
    <w:p>
      <w:pPr>
        <w:spacing w:after="0" w:line="175" w:lineRule="exact"/>
        <w:rPr>
          <w:rFonts w:ascii="Times New Roman" w:cs="Times New Roman" w:eastAsia="Times New Roman" w:hAnsi="Times New Roman"/>
          <w:sz w:val="18"/>
          <w:szCs w:val="18"/>
          <w:color w:val="auto"/>
        </w:rPr>
      </w:pPr>
    </w:p>
    <w:p>
      <w:pPr>
        <w:ind w:left="840" w:right="20" w:hanging="328"/>
        <w:spacing w:after="0" w:line="266"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general acceptability and maintenance of our product candidates by regulatory authorities, payors, physicians, and patients may not be achieved;</w:t>
      </w:r>
    </w:p>
    <w:p>
      <w:pPr>
        <w:spacing w:after="0" w:line="162"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key personnel;</w:t>
      </w:r>
    </w:p>
    <w:p>
      <w:pPr>
        <w:spacing w:after="0" w:line="225"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future operating expenses, capital requirements and needs for additional financing may not be achieved;</w:t>
      </w:r>
    </w:p>
    <w:p>
      <w:pPr>
        <w:spacing w:after="0" w:line="211"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completed any clinical trials, and have no products approved for commercial sale;</w:t>
      </w:r>
    </w:p>
    <w:p>
      <w:pPr>
        <w:spacing w:after="0" w:line="211" w:lineRule="exact"/>
        <w:rPr>
          <w:rFonts w:ascii="Times New Roman" w:cs="Times New Roman" w:eastAsia="Times New Roman" w:hAnsi="Times New Roman"/>
          <w:sz w:val="18"/>
          <w:szCs w:val="18"/>
          <w:color w:val="auto"/>
        </w:rPr>
      </w:pPr>
    </w:p>
    <w:p>
      <w:pPr>
        <w:ind w:left="840" w:hanging="328"/>
        <w:spacing w:after="0" w:line="282"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losses for the foreseeable future and may not be able to achieve or sustain profitability in the future;</w:t>
      </w:r>
    </w:p>
    <w:p>
      <w:pPr>
        <w:spacing w:after="0" w:line="148" w:lineRule="exact"/>
        <w:rPr>
          <w:rFonts w:ascii="Times New Roman" w:cs="Times New Roman" w:eastAsia="Times New Roman" w:hAnsi="Times New Roman"/>
          <w:sz w:val="18"/>
          <w:szCs w:val="18"/>
          <w:color w:val="auto"/>
        </w:rPr>
      </w:pPr>
    </w:p>
    <w:p>
      <w:pPr>
        <w:jc w:val="both"/>
        <w:ind w:left="840" w:hanging="328"/>
        <w:spacing w:after="0" w:line="258"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96" w:lineRule="exact"/>
        <w:rPr>
          <w:rFonts w:ascii="Times New Roman" w:cs="Times New Roman" w:eastAsia="Times New Roman" w:hAnsi="Times New Roman"/>
          <w:sz w:val="18"/>
          <w:szCs w:val="18"/>
          <w:color w:val="auto"/>
        </w:rPr>
      </w:pPr>
    </w:p>
    <w:p>
      <w:pPr>
        <w:ind w:left="840" w:right="280" w:hanging="328"/>
        <w:spacing w:after="0" w:line="234" w:lineRule="auto"/>
        <w:tabs>
          <w:tab w:leader="none" w:pos="834"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renew existing contracts, enter into new contracts, or may experience disputes or other challenges with respect to our vendors or other third parties;</w:t>
      </w:r>
    </w:p>
    <w:p>
      <w:pPr>
        <w:spacing w:after="0" w:line="226" w:lineRule="exact"/>
        <w:rPr>
          <w:rFonts w:ascii="Arial" w:cs="Arial" w:eastAsia="Arial" w:hAnsi="Arial"/>
          <w:sz w:val="22"/>
          <w:szCs w:val="22"/>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development manufacturing organizations for the manufacture of clinical materials;</w:t>
      </w:r>
    </w:p>
    <w:p>
      <w:pPr>
        <w:spacing w:after="0" w:line="211"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 research organizations, clinical trial sites, and other third parties to conduct our preclinical studies and clinical trials;</w:t>
      </w:r>
    </w:p>
    <w:p>
      <w:pPr>
        <w:spacing w:after="0" w:line="211" w:lineRule="exact"/>
        <w:rPr>
          <w:rFonts w:ascii="Times New Roman" w:cs="Times New Roman" w:eastAsia="Times New Roman" w:hAnsi="Times New Roman"/>
          <w:sz w:val="18"/>
          <w:szCs w:val="18"/>
          <w:color w:val="auto"/>
        </w:rPr>
      </w:pPr>
    </w:p>
    <w:p>
      <w:pPr>
        <w:ind w:left="840" w:hanging="328"/>
        <w:spacing w:after="0" w:line="282"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and there may be related restrictions or limitations of any approved products;</w:t>
      </w:r>
    </w:p>
    <w:p>
      <w:pPr>
        <w:spacing w:after="0" w:line="148"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respond to general economic and geopolitical conditions;</w:t>
      </w:r>
    </w:p>
    <w:p>
      <w:pPr>
        <w:spacing w:after="0" w:line="211"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achieve or manage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hanging="328"/>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competitive pressures from other companies worldwide;</w:t>
      </w:r>
    </w:p>
    <w:p>
      <w:pPr>
        <w:spacing w:after="0" w:line="211"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rights; and</w:t>
      </w:r>
    </w:p>
    <w:p>
      <w:pPr>
        <w:spacing w:after="0" w:line="225"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documents filed, or to be filed, with the Securities and Exchange Commission (the “SEC”).</w:t>
      </w:r>
    </w:p>
    <w:p>
      <w:pPr>
        <w:spacing w:after="0" w:line="212" w:lineRule="exact"/>
        <w:rPr>
          <w:sz w:val="20"/>
          <w:szCs w:val="20"/>
          <w:color w:val="auto"/>
        </w:rPr>
      </w:pPr>
    </w:p>
    <w:p>
      <w:pPr>
        <w:jc w:val="both"/>
        <w:ind w:left="180" w:firstLine="324"/>
        <w:spacing w:after="0" w:line="245"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2025, as filed with the SEC on March 19, 2026 (the “2025 Annual Report”).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81" w:lineRule="exact"/>
        <w:rPr>
          <w:sz w:val="20"/>
          <w:szCs w:val="20"/>
          <w:color w:val="auto"/>
        </w:rPr>
      </w:pPr>
    </w:p>
    <w:p>
      <w:pPr>
        <w:jc w:val="both"/>
        <w:ind w:left="180" w:firstLine="324"/>
        <w:spacing w:after="0" w:line="244"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this Quarterly Report and the documents referenced within this Quarterly Report and the other cautionary statements that are included elsewhere in this Quarterly Report and in our public filings, including under “Management’s Discussion and Analysis of Financial Condition and Results of Operations.” Forward-looking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109,407</w:t>
            </w:r>
          </w:p>
        </w:tc>
      </w:tr>
      <w:tr>
        <w:trPr>
          <w:trHeight w:val="264"/>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7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112,310</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194,629</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3"/>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64"/>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77"/>
        </w:trPr>
        <w:tc>
          <w:tcPr>
            <w:tcW w:w="8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1"/>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A Ordinary Shares, $0.0001 par value; 300,000,000 shares authorized as of September 30, 2026 and</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03"/>
        </w:trPr>
        <w:tc>
          <w:tcPr>
            <w:tcW w:w="81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December 31, 2025; 96,306,411 and 73,680,710 shares issued and outstanding as of September 30, 2026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6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326,078</w:t>
            </w:r>
          </w:p>
        </w:tc>
      </w:tr>
      <w:tr>
        <w:trPr>
          <w:trHeight w:val="270"/>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(224,547)</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101,538</w:t>
            </w: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4"/>
                <w:szCs w:val="14"/>
                <w:color w:val="auto"/>
              </w:rPr>
            </w:pPr>
          </w:p>
        </w:tc>
        <w:tc>
          <w:tcPr>
            <w:tcW w:w="23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0" w:type="dxa"/>
            <w:vAlign w:val="bottom"/>
          </w:tcPr>
          <w:p>
            <w:pPr>
              <w:spacing w:after="0"/>
              <w:rPr>
                <w:sz w:val="1"/>
                <w:szCs w:val="1"/>
                <w:color w:val="auto"/>
              </w:rPr>
            </w:pPr>
          </w:p>
        </w:tc>
      </w:tr>
      <w:tr>
        <w:trPr>
          <w:trHeight w:val="263"/>
        </w:trPr>
        <w:tc>
          <w:tcPr>
            <w:tcW w:w="5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63"/>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(76,352)</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Adjustment of redeemable noncontrolling interest</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Class A Ordinary Shareholders of Zura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Ordinary Shareholders of Zura,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4"/>
                <w:szCs w:val="14"/>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4"/>
                <w:szCs w:val="14"/>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2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Class A Ordinary Shares used in computing net loss per</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share attributable to Class A Ordinary Shareholders of Zura, basic and</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127,712,533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94,564,632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122,303,170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93,941,675</w:t>
            </w:r>
          </w:p>
        </w:tc>
        <w:tc>
          <w:tcPr>
            <w:tcW w:w="0" w:type="dxa"/>
            <w:vAlign w:val="bottom"/>
          </w:tcPr>
          <w:p>
            <w:pPr>
              <w:spacing w:after="0"/>
              <w:rPr>
                <w:sz w:val="1"/>
                <w:szCs w:val="1"/>
                <w:color w:val="auto"/>
              </w:rPr>
            </w:pPr>
          </w:p>
        </w:tc>
      </w:tr>
      <w:tr>
        <w:trPr>
          <w:trHeight w:val="254"/>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00" w:type="dxa"/>
            <w:vAlign w:val="bottom"/>
          </w:tcPr>
          <w:p>
            <w:pPr>
              <w:spacing w:after="0"/>
              <w:rPr>
                <w:sz w:val="15"/>
                <w:szCs w:val="15"/>
                <w:color w:val="auto"/>
              </w:rPr>
            </w:pPr>
          </w:p>
        </w:tc>
        <w:tc>
          <w:tcPr>
            <w:tcW w:w="11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1140" w:type="dxa"/>
            <w:vAlign w:val="bottom"/>
            <w:vMerge w:val="restart"/>
          </w:tcPr>
          <w:p>
            <w:pPr>
              <w:jc w:val="center"/>
              <w:ind w:left="14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30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9"/>
                <w:szCs w:val="9"/>
                <w:color w:val="auto"/>
              </w:rPr>
            </w:pPr>
          </w:p>
        </w:tc>
        <w:tc>
          <w:tcPr>
            <w:tcW w:w="110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1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95,422,452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472,149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(275,074)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197,085</w:t>
            </w:r>
          </w:p>
        </w:tc>
        <w:tc>
          <w:tcPr>
            <w:tcW w:w="0" w:type="dxa"/>
            <w:vAlign w:val="bottom"/>
          </w:tcPr>
          <w:p>
            <w:pPr>
              <w:spacing w:after="0"/>
              <w:rPr>
                <w:sz w:val="1"/>
                <w:szCs w:val="1"/>
                <w:color w:val="auto"/>
              </w:rPr>
            </w:pPr>
          </w:p>
        </w:tc>
      </w:tr>
      <w:tr>
        <w:trPr>
          <w:trHeight w:val="18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for</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 option exercises and restricted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 units, net of shares withheld for</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taxes</w:t>
            </w:r>
          </w:p>
        </w:tc>
        <w:tc>
          <w:tcPr>
            <w:tcW w:w="1140" w:type="dxa"/>
            <w:vAlign w:val="bottom"/>
          </w:tcPr>
          <w:p>
            <w:pPr>
              <w:spacing w:after="0"/>
              <w:rPr>
                <w:sz w:val="17"/>
                <w:szCs w:val="17"/>
                <w:color w:val="auto"/>
              </w:rPr>
            </w:pPr>
          </w:p>
        </w:tc>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883,959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0" w:type="dxa"/>
            <w:vAlign w:val="bottom"/>
          </w:tcPr>
          <w:p>
            <w:pPr>
              <w:spacing w:after="0"/>
              <w:rPr>
                <w:sz w:val="1"/>
                <w:szCs w:val="1"/>
                <w:color w:val="auto"/>
              </w:rPr>
            </w:pPr>
          </w:p>
        </w:tc>
      </w:tr>
      <w:tr>
        <w:trPr>
          <w:trHeight w:val="206"/>
        </w:trPr>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Pr>
          <w:p>
            <w:pPr>
              <w:spacing w:after="0"/>
              <w:rPr>
                <w:sz w:val="17"/>
                <w:szCs w:val="17"/>
                <w:color w:val="auto"/>
              </w:rPr>
            </w:pPr>
          </w:p>
        </w:tc>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(25,825)</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114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96,306,411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478,549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(300,899)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177,660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5"/>
                <w:szCs w:val="15"/>
                <w:color w:val="auto"/>
              </w:rPr>
            </w:pPr>
          </w:p>
        </w:tc>
        <w:tc>
          <w:tcPr>
            <w:tcW w:w="128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Borders>
              <w:right w:val="single" w:sz="8" w:color="auto"/>
            </w:tcBorders>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6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9"/>
                <w:szCs w:val="9"/>
                <w:color w:val="auto"/>
              </w:rPr>
            </w:pPr>
          </w:p>
        </w:tc>
        <w:tc>
          <w:tcPr>
            <w:tcW w:w="110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11,663</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62,064,270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315,231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(189,332)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127,446</w:t>
            </w:r>
          </w:p>
        </w:tc>
        <w:tc>
          <w:tcPr>
            <w:tcW w:w="0" w:type="dxa"/>
            <w:vAlign w:val="bottom"/>
          </w:tcPr>
          <w:p>
            <w:pPr>
              <w:spacing w:after="0"/>
              <w:rPr>
                <w:sz w:val="1"/>
                <w:szCs w:val="1"/>
                <w:color w:val="auto"/>
              </w:rPr>
            </w:pPr>
          </w:p>
        </w:tc>
      </w:tr>
      <w:tr>
        <w:trPr>
          <w:trHeight w:val="18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upon</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60" w:type="dxa"/>
            <w:vAlign w:val="bottom"/>
          </w:tcPr>
          <w:p>
            <w:pPr>
              <w:spacing w:after="0"/>
              <w:rPr>
                <w:sz w:val="16"/>
                <w:szCs w:val="16"/>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2,888,952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for</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share units, net of shares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withheld for taxes</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Partial extinguishment of redeemable</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 of redeemable noncontrolling</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to redemption value</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(18,040)</w:t>
            </w:r>
          </w:p>
        </w:tc>
        <w:tc>
          <w:tcPr>
            <w:tcW w:w="0" w:type="dxa"/>
            <w:vAlign w:val="bottom"/>
          </w:tcPr>
          <w:p>
            <w:pPr>
              <w:spacing w:after="0"/>
              <w:rPr>
                <w:sz w:val="1"/>
                <w:szCs w:val="1"/>
                <w:color w:val="auto"/>
              </w:rPr>
            </w:pPr>
          </w:p>
        </w:tc>
      </w:tr>
      <w:tr>
        <w:trPr>
          <w:trHeight w:val="26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8,660</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65,018,058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315,608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(207,372)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109,784</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11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120" w:type="dxa"/>
            <w:vAlign w:val="bottom"/>
            <w:vMerge w:val="restart"/>
          </w:tcPr>
          <w:p>
            <w:pPr>
              <w:jc w:val="center"/>
              <w:ind w:left="12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6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30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9"/>
                <w:szCs w:val="9"/>
                <w:color w:val="auto"/>
              </w:rPr>
            </w:pPr>
          </w:p>
        </w:tc>
        <w:tc>
          <w:tcPr>
            <w:tcW w:w="110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11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73,680,710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326,078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(224,547)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101,538</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in</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connection with the February 2026</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Offering, net of $8.5 million of</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underwriters’ fees and discounts and</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costs</w:t>
            </w:r>
          </w:p>
        </w:tc>
        <w:tc>
          <w:tcPr>
            <w:tcW w:w="1120" w:type="dxa"/>
            <w:vAlign w:val="bottom"/>
          </w:tcPr>
          <w:p>
            <w:pPr>
              <w:spacing w:after="0"/>
              <w:rPr>
                <w:sz w:val="16"/>
                <w:szCs w:val="16"/>
                <w:color w:val="auto"/>
              </w:rPr>
            </w:pPr>
          </w:p>
        </w:tc>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124,046</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 in</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connection with the February 2026</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Offering, net of $0.7 million of</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underwriters’ fees and discounts and</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transaction costs</w:t>
            </w:r>
          </w:p>
        </w:tc>
        <w:tc>
          <w:tcPr>
            <w:tcW w:w="1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10,527</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for</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 option exercises and restricted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 units, net of shares withheld for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taxes</w:t>
            </w:r>
          </w:p>
        </w:tc>
        <w:tc>
          <w:tcPr>
            <w:tcW w:w="1120" w:type="dxa"/>
            <w:vAlign w:val="bottom"/>
          </w:tcPr>
          <w:p>
            <w:pPr>
              <w:spacing w:after="0"/>
              <w:rPr>
                <w:sz w:val="17"/>
                <w:szCs w:val="17"/>
                <w:color w:val="auto"/>
              </w:rPr>
            </w:pPr>
          </w:p>
        </w:tc>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1,425,701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14,781</w:t>
            </w: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spacing w:after="0"/>
              <w:rPr>
                <w:sz w:val="17"/>
                <w:szCs w:val="17"/>
                <w:color w:val="auto"/>
              </w:rPr>
            </w:pPr>
          </w:p>
        </w:tc>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(76,352)</w:t>
            </w:r>
          </w:p>
        </w:tc>
        <w:tc>
          <w:tcPr>
            <w:tcW w:w="0" w:type="dxa"/>
            <w:vAlign w:val="bottom"/>
          </w:tcPr>
          <w:p>
            <w:pPr>
              <w:spacing w:after="0"/>
              <w:rPr>
                <w:sz w:val="1"/>
                <w:szCs w:val="1"/>
                <w:color w:val="auto"/>
              </w:rPr>
            </w:pPr>
          </w:p>
        </w:tc>
      </w:tr>
      <w:tr>
        <w:trPr>
          <w:trHeight w:val="23"/>
        </w:trPr>
        <w:tc>
          <w:tcPr>
            <w:tcW w:w="2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112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96,306,411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478,549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(300,899)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177,660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Borders>
              <w:right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6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Borders>
              <w:right w:val="single" w:sz="8" w:color="auto"/>
            </w:tcBorders>
            <w:gridSpan w:val="3"/>
            <w:vMerge w:val="continue"/>
          </w:tcPr>
          <w:p>
            <w:pPr>
              <w:spacing w:after="0"/>
              <w:rPr>
                <w:sz w:val="9"/>
                <w:szCs w:val="9"/>
                <w:color w:val="auto"/>
              </w:rPr>
            </w:pPr>
          </w:p>
        </w:tc>
        <w:tc>
          <w:tcPr>
            <w:tcW w:w="20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Borders>
              <w:right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7"/>
                <w:szCs w:val="7"/>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7"/>
                <w:szCs w:val="7"/>
                <w:color w:val="auto"/>
              </w:rPr>
            </w:pPr>
          </w:p>
        </w:tc>
        <w:tc>
          <w:tcPr>
            <w:tcW w:w="11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right w:val="single" w:sz="8" w:color="auto"/>
            </w:tcBorders>
            <w:gridSpan w:val="3"/>
            <w:vMerge w:val="continue"/>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Borders>
              <w:right w:val="single" w:sz="8" w:color="auto"/>
            </w:tcBorders>
            <w:gridSpan w:val="3"/>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11,663</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65,297,530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302,705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(155,897)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148,356</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in</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connection with a sale under the ATM,</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$0.2 million of commissions</w:t>
            </w:r>
          </w:p>
        </w:tc>
        <w:tc>
          <w:tcPr>
            <w:tcW w:w="140" w:type="dxa"/>
            <w:vAlign w:val="bottom"/>
          </w:tcPr>
          <w:p>
            <w:pPr>
              <w:spacing w:after="0"/>
              <w:rPr>
                <w:sz w:val="16"/>
                <w:szCs w:val="16"/>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 in</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exchange for Class A Ordinary Shares</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upon</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40" w:type="dxa"/>
            <w:vAlign w:val="bottom"/>
          </w:tcPr>
          <w:p>
            <w:pPr>
              <w:spacing w:after="0"/>
              <w:rPr>
                <w:sz w:val="16"/>
                <w:szCs w:val="16"/>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2,888,952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for</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 option exercises and restricted</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 units, net of shares withheld for</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331,576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Partial extinguishment of redeemable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 of redeemable noncontrolling</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to redemption value</w:t>
            </w: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(51,475)</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8,660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65,018,058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315,608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(207,372)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109,784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r>
      <w:tr>
        <w:trPr>
          <w:trHeight w:val="210"/>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(76,352)</w:t>
            </w:r>
          </w:p>
        </w:tc>
        <w:tc>
          <w:tcPr>
            <w:tcW w:w="10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(51,475)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before redeemable noncontrolling interest to net cash used in operating activities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9"/>
        </w:trPr>
        <w:tc>
          <w:tcPr>
            <w:tcW w:w="8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9,755</w:t>
            </w:r>
          </w:p>
        </w:tc>
      </w:tr>
      <w:tr>
        <w:trPr>
          <w:trHeight w:val="22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9"/>
        </w:trPr>
        <w:tc>
          <w:tcPr>
            <w:tcW w:w="8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22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Foreign exchange transaction loss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210"/>
        </w:trPr>
        <w:tc>
          <w:tcPr>
            <w:tcW w:w="8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2"/>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9"/>
        </w:trPr>
        <w:tc>
          <w:tcPr>
            <w:tcW w:w="8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r>
      <w:tr>
        <w:trPr>
          <w:trHeight w:val="223"/>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assets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r>
      <w:tr>
        <w:trPr>
          <w:trHeight w:val="209"/>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(42,537)</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20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Class A Ordinary Shares in connection with February 2026 Equity Offering, net of $8.5 million of underwriters’ fees and</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8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discounts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issuance of Pre-Funded Warrants in connection with February 2026 Equity Offering, net of $0.7 million of underwriters’ fees and</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discounts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Class A Ordinary Shares in connection with a sale under the ATM, net of $0.2 million of commissions</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employee withholding taxes for restricted share units withheld</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exercise of share options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1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exercise of Pre-Funded Warrants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137,640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5,152</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(37,481)</w:t>
            </w: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176,498</w:t>
            </w: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139,017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taxes</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 included in accounts payable and accrued expenses</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share units withheld to pay employee withholding taxes</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option exercise proceeds receivable</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Partial extinguishment of redeemable noncontrolling interest</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5,831</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redeemable noncontrolling interest to redemption value</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w:t>
            </w:r>
          </w:p>
        </w:tc>
      </w:tr>
    </w:tbl>
    <w:p>
      <w:pPr>
        <w:spacing w:after="0" w:line="30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figures in tables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Zura Bio Limited, a Cayman Islands exempted company, together with its subsidiaries (collectively, the “Company” or “Zura”), is a clinical-stage biotechnology company developing novel and differentiated medicines for patients with autoimmune and inflammatory diseases, including serious and debilitating conditions with significant unmet medical need. These diseases are often chronic and biologically complex, and many patients do not achieve durable disease control with currently available therapies. The Company’s strategic focus is to identify immune-mediated diseases in which translational and clinical evidence supports the role of specific biological pathways in disease pathogenesis. The Company is currently developing its lead product candidate in ongoing Phase 2 trials while evaluating development opportunities for its clinical-stage assets, focusing on indications with unmet needs and commercial potential.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Company’s unaudited condensed consolidated financial statements (the “condensed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will no longer be an emerging growth company effective December 31,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The Company had an accumulated deficit of $300.9 million as of September 30, 2026 and a net loss of $25.8 million and $76.4 million for the three and nine months ended September 30, 2026, respectively. The Company’s existing sources of liquidity as of September 30, 2026 include $187.7 million in cash and cash equivalents.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relied primarily on public and private equity financings to fund operations. The Company’s cash requirements include, but are not limited to, clinical development, product candidate manufacturing costs, and working capital requirements. The Company expects that such operating losses and negative cash flows from operations will continue for the foreseeable future but has sufficient liquidity to fund its operations over the next twelve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accounting principles generally accepted in the United States of America (“U.S. GAAP”) and include the accounts of its consolidated subsidiaries. In comparative periods, where applicable,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are presented in accordance with the rules and regulations of the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2025 (the “audited consolidated financial statements”) that were included in the Company’s 2025 Annual Report. In management’s opinion, these condensed consolidated financial statements have been prepared on the same basis as the audited consolidated financial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and reflect all adjustments, which include normal recurring adjustments, necessary for the fair statement of the Company’s financial position as of September 30, 2026 and the results of operations for the three and nine months ended September 30, 2026 and 2025. The results of operations for the three and nine months ended September 30, 2026 are not necessarily indicative of the results to be expected for the full year ending December 31, 2026 or any other future interim or annual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from those that were disclosed in Note 2, Summary of Significant Accounting Policies, included in the audited consolidated financial statements in the Company’s 2025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accrued research and development expenses, the fair value of share-based compensation, the fair value of redeemable noncontrolling interest, and the valuation allowance of deferred tax assets resulting from net operating losses.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clinical manufacturing to commercial production of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 candidates will require approvals from the United States Food and Drug Administration (“FDA”) and comparable foreign regulatory agencies prior to commercial sales in their respective jurisdictions. There can be no assurance that any product candidate will receive the necessary approvals. If the Company was denied approval, approval was delayed or the Company was unable to maintain approval for any product candidate, it could have a material adverse impact on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CODM is the Chief Executive Officer. The Company and the CODM view its operations and manage its business in one operating segment, developing novel medicines for immune and inflammatory disorders. The Company has business activities in different regions that are managed on a consolidated basis.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accounting policies of the Company’s segment are the same as those described within this footnote. The CODM uses net loss, that is reported in the condensed consolidated statements of operations, to assess performance for the Company’s segment and decide how to allocate resources. The measure of segment assets is reported on the condensed consolidated balance sheets as total consolidated assets. The following table represents information provided to the CODM:</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3"/>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Wages and benefits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77"/>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Tibulizumab SSc program</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r>
      <w:tr>
        <w:trPr>
          <w:trHeight w:val="263"/>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Tibulizumab HS program</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77"/>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Tibulizumab PMR program</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Tibulizumab program general</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r>
      <w:tr>
        <w:trPr>
          <w:trHeight w:val="277"/>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product candidates (torudokimab and crebankitug)</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63"/>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7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Wages and benefits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r>
      <w:tr>
        <w:trPr>
          <w:trHeight w:val="277"/>
        </w:trPr>
        <w:tc>
          <w:tcPr>
            <w:tcW w:w="5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r>
      <w:tr>
        <w:trPr>
          <w:trHeight w:val="26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76,352</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51,475</w:t>
            </w:r>
          </w:p>
        </w:tc>
      </w:tr>
      <w:tr>
        <w:trPr>
          <w:trHeight w:val="21"/>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items include depreciation and amortization, income tax benefit, interest income, and other income,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Incentive Credits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eligible to obtain certain R&amp;D incentive credits (the “R&amp;D Credits”), through participation in the United Kingdom’s (“U.K.”) R&amp;D Small and Medium Enterprise and the Research and Development Expenditure Credit tax relief programs.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R&amp;D Credits are calculated as a percentage of qualifying R&amp;D expenses incurred as part of research projects. The R&amp;D Credits are used as tax credits for the Company with the resulting amount being payable in cash by the U.K. government (tax authority) to the Company. The R&amp;D Credits are subject to future audits by the U.K. tax authority within defined periods.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incentive credits are administered through the local tax authority, the Company has accounted for the incentives outside of the scope of FASB Accounting Standards Codification ("ASC") Topic 740, Income Taxes, since the incentives are not linked to the Company’s taxable income and can be realized regardless of whether the Company has generated taxable income in the respective jurisdictions. The Company accounts for these incentive credits as a government grant which analogizes with International Accounting Standards 20 (“IAS 20”), Accounting for Government Grants and Disclosure of Government Assistance.</w:t>
      </w:r>
    </w:p>
    <w:p>
      <w:pPr>
        <w:spacing w:after="0" w:line="19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In accordance with IAS 20, the Company will recognize the R&amp;D Credits when it has reasonable assurance that the R&amp;D Credits will be received. As the Company has only filed two claims under the tax relief programs as of September 30, 2026, it has determined that reasonable assurance will be met upon cash receipt. The Company received the first claim in May 2025. In April 2025, the Company filed a second claim for an R&amp;D Credit for $1.0 million that was received during the nine months ended September 30, 2026 and recorded in other income, net within the Company’s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the Company’s Class A ordinary shares (“Class A Ordinary Shares”) and pre-funded warrants outstanding during the period. The pre-funded warrants are included in the computation of basic and diluted net loss per ordinary share as the exercise price is negligible and the pre-funded warrants are fully vested and exercisable. Basic and diluted net loss per share were the same for each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presented as the inclusion of all potentially dilutive securities outstanding would have been anti-dilutive due to the Company’s net loss.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provides potentially dilutive securities not included in the calculation of the diluted net loss per share as of the periods presented because to do so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8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9"/>
        </w:trPr>
        <w:tc>
          <w:tcPr>
            <w:tcW w:w="8180" w:type="dxa"/>
            <w:vAlign w:val="bottom"/>
          </w:tcPr>
          <w:p>
            <w:pPr>
              <w:spacing w:after="0"/>
              <w:rPr>
                <w:sz w:val="17"/>
                <w:szCs w:val="17"/>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18,508,116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14,480,663</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Z33 Series Seed Preferred Shares Put Right</w:t>
            </w:r>
          </w:p>
        </w:tc>
        <w:tc>
          <w:tcPr>
            <w:tcW w:w="20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vesting of restricted share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573,282</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share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249,997</w:t>
            </w:r>
          </w:p>
        </w:tc>
      </w:tr>
      <w:tr>
        <w:trPr>
          <w:trHeight w:val="295"/>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18,889,757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17,303,942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Interim income tax provision is calculated in accordance with ASC Topic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and ASC Topic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At the end of each interim period, the Company estimates the annual effective tax rate and applies that rate to the Company’s ordinary year to date earnings. In addition, the tax effects of unusual or infrequently occurring items including changes in judgment about valuation allowances and effects of changes in enacted tax laws are recognized discretely in the interim period in which the change occurs. The computation of the annual estimated effective tax rate at each interim period requires certain estimates and significant judgment including the expected operating income for the year, permanent and temporary differences as a result of differences between amounts measured and recognized in accordance with tax laws and financial accounting standards, and the likelihood of recovering deferred tax assets generated in the current fiscal year. The accounting estimates used to compute income tax benefit may change as new events occur, additional information is obtained, or the tax environment changes.</w:t>
      </w:r>
    </w:p>
    <w:p>
      <w:pPr>
        <w:spacing w:after="0" w:line="2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benefit for income taxes for the three and nine months ended September 30, 2026 was $1.2 million and $1.3 million, respectively, yielding effective tax rates of 4.5% and 1.7%, respectively. The Company did not record a provision for income taxes for the three and nine months ended September 30, 2025, as the Company maintained a full valuation allowance against its net deferred tax assets during those periods.</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2026 differs from the U.S. federal statutory rate of 21% primarily as a result of (i) no income tax benefit recognized on current-year U.S. operating losses, as the Company continues to maintain a full valuation allowance against its U.S. deferred tax assets based on the weight of available objective evidence, and (ii) an income tax benefit of $1.2 million and $1.3 million, respectively, related to the Company’s United Kingdom operations, consisting of tax expense on current U.K. operating income, partially offset by a discrete tax benefit related to the reversal of the Company’s valuation allowance against its U.K. deferred tax assets, as the Company concluded during the second quarter of 2026 that those assets became realizable on a more-likely-than-not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Income Statement—Reporting Comprehensive Income—Expense Disaggregation Disclosures (Subtopic 220-40): Disaggregation of Income Statement Expenses. This ASU requires disclosure in the notes to financial statements of the nature of certain expenses included in the income statement. ASU 2024-03 will be effective for annual reporting periods beginning after December 15, 2026, and interim reporting periods beginning after December 15, 2027. Early adoption is permitted. The Company is currently evaluating the impact of ASU 2024-03 and expects to adopt it for the year ending December 31, 2027.</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which establishes guidance on the recognition, measurement, and presentation of government grants received by business entities. The amendments in ASU 2025-10 are effective for annual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periods beginning after December 15, 2028, and interim reporting periods within those annual reporting periods, with early adoption permitted. The guidance can be applied under a modified prospective approach, a modified retrospective approach, or a full retrospective approach. The Company is currently assessing the impact of the adoption of this guidance on its condensed consolidated financial statements and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data.</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prepaid and other current assets, and accounts payable and accrued expenses. The carrying values of the Company’s cash, prepaid and other current assets, and accounts payable and accrued expenses approximate their fair value due to the short-term maturity of these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the fair value hierarchy of the valuation techniques utilized: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6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3"/>
                <w:szCs w:val="23"/>
                <w:color w:val="auto"/>
              </w:rPr>
            </w:pPr>
          </w:p>
        </w:tc>
        <w:tc>
          <w:tcPr>
            <w:tcW w:w="860" w:type="dxa"/>
            <w:vAlign w:val="bottom"/>
            <w:tcBorders>
              <w:bottom w:val="single" w:sz="8" w:color="auto"/>
            </w:tcBorders>
            <w:gridSpan w:val="2"/>
          </w:tcPr>
          <w:p>
            <w:pPr>
              <w:jc w:val="right"/>
              <w:ind w:right="68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3"/>
                <w:szCs w:val="23"/>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182,164</w:t>
            </w:r>
          </w:p>
        </w:tc>
        <w:tc>
          <w:tcPr>
            <w:tcW w:w="60" w:type="dxa"/>
            <w:vAlign w:val="bottom"/>
          </w:tcPr>
          <w:p>
            <w:pPr>
              <w:spacing w:after="0"/>
              <w:rPr>
                <w:sz w:val="23"/>
                <w:szCs w:val="23"/>
                <w:color w:val="auto"/>
              </w:rPr>
            </w:pPr>
          </w:p>
        </w:tc>
      </w:tr>
      <w:tr>
        <w:trPr>
          <w:trHeight w:val="20"/>
        </w:trPr>
        <w:tc>
          <w:tcPr>
            <w:tcW w:w="6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7"/>
        </w:trPr>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0"/>
        </w:trPr>
        <w:tc>
          <w:tcPr>
            <w:tcW w:w="6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7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106,310</w:t>
            </w:r>
          </w:p>
        </w:tc>
        <w:tc>
          <w:tcPr>
            <w:tcW w:w="60" w:type="dxa"/>
            <w:vAlign w:val="bottom"/>
          </w:tcPr>
          <w:p>
            <w:pPr>
              <w:spacing w:after="0"/>
              <w:rPr>
                <w:sz w:val="23"/>
                <w:szCs w:val="23"/>
                <w:color w:val="auto"/>
              </w:rPr>
            </w:pPr>
          </w:p>
        </w:tc>
      </w:tr>
      <w:tr>
        <w:trPr>
          <w:trHeight w:val="20"/>
        </w:trPr>
        <w:tc>
          <w:tcPr>
            <w:tcW w:w="6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into or out of Level 1, Level 2, or Level 3 during the three and nine months ended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is comprised of the following as of September 30, 2026 and December 31, 2025:</w:t>
      </w:r>
    </w:p>
    <w:p>
      <w:pPr>
        <w:spacing w:after="0" w:line="200" w:lineRule="exact"/>
        <w:rPr>
          <w:sz w:val="20"/>
          <w:szCs w:val="20"/>
          <w:color w:val="auto"/>
        </w:rPr>
      </w:pP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r>
      <w:tr>
        <w:trPr>
          <w:trHeight w:val="26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7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7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6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95"/>
        </w:trPr>
        <w:tc>
          <w:tcPr>
            <w:tcW w:w="6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Lilly License</w:t>
      </w:r>
    </w:p>
    <w:p>
      <w:pPr>
        <w:spacing w:after="0" w:line="21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April 26, 2023, ZB17 entered into a license agreement (the “2023 Lilly License”) with Eli Lilly and Company ("Lilly") for an exclusive license to develop, manufacture and commercialize tibulizumab.</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obligated to make payments to Lilly (a) for 4 development milestone payments up to an aggregate of $155.0 million, and sales milestone payments up to an aggregate of $440.0 million based on respective thresholds of net sales of products developed from tibulizumab; and (b) over a multi-year period (twelve years, or upon the later expiration of regulatory exclusivity of tibulizumab in a country) for an annual earned royalty at a marginal royalty rate in the mid-single digits to low-double digits, with increasing royalty percentage rates depending on net sales in the respective calendar year, based on a percentage of sales within varying thresholds for a certain period of years (collectively, the “2023 Lilly Contingent Payments”). As of September 30, 2026, none of the 2023 Lilly Contingent Payments are due and accordingly will not be recorded in the Company’s financial statements until they are due.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Lilly License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8, 2022, the Company’s consolidated subsidiary, Z33, entered into a license agreement with Lilly pursuant to which Lilly granted Z33 an exclusive (even as to Lilly) license to develop, manufacture, and commercialize torudokimab.</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obligated to make payments to Lilly for (a) 10 commercial, development and regulatory milestone payments up to an aggregate of $155.0 million and sales milestone payments up to an aggregate of $440.0 million based on respective thresholds of net sales of products developed from the licensed compound, if any; and (b) an annual earned royalty at a marginal royalty rate in the mid-single to low-double digits, with increasing royalty percentage rates based on net sales in the respective calendar year, based on a percentage of sales within varying thresholds for a certain period of the year (collectively, the “2022 Lilly Contingent Payments”). The Company will account for these contingent milestone payments when they become due. As of September 30, 2026, none of the 2022 Lilly Contingent Payments are due and accordingly will not be recorded in the Company’s financial statements until they are due.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Agreement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22, 2022, the Company entered into a license agreement and a Series A-1 Subscription and Shareholder’s Agreement (collectively, the “Pfizer Agreement”) with Pfizer. Under the Pfizer Agreement, the Company acquired a license for crebankitug.</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is obligated to make payments to Pfizer for (a)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the Company’s Products, if any (collectively, the “Pfizer Contingent Payments”). As of September 30, 2026, none of the Pfizer Contingent Payments are due and accordingly will not be recorded in the Company’s financial statements until they are due.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License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the Lonza License, the Company has a license fee of $0.4 million due to Lonza annually in the fourth quarter as a result of manufacturing drug substance with a third party other than Lonza since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a cell line license agreement (the “Cell Line License Agreement”) with WuXi Biologics and its Affiliates (“WuXi Biologics”) for certain of WuXi Biologics’s know-how, cell line, and biological materials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(a) by the Company upon three months’ prior written notice and its payment of all undisputed amounts due to WuXi Biologics through the effective date of termination, (b) by WuXi Biologics for a material breach by the Company that remains uncured for 30 days after written notice; or (c) by WuXi Biologics if the Company fails to make a payment and such failure continues for 30 days after receiving notice of such failure. As of September 30, 2026, there are no payments currently due under the Cell Line License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Athanor Letter Agreement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2025, the Company entered into a letter agreement with Athanor Capital, an exempted company incorporated under the laws of the Cayman Islands with limited liability (“Athanor”) (the “Athanor Agreement”), pursuant to which the Company issued to Athanor 8,657,402 Ordinary Shares (the “Athanor Shares”). Athanor is also entitled to piggyback registration rights pursuant to which Athanor has the right to include Athanor Shares in certain registered offerings by the Company or if the Company proposes to file a registration statement under the Securities Act of 1933, as amended, with respect to the registration of equity securities, as set forth in the Athanor Agreement.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pursuant to the terms of the Athanor Agreement, the Company agreed to pay Athanor an upfront fee in an amount equal to $7.3 million within thirty days of execution of the Athanor Agreement and a one-time milestone payment in the amount of $25.0 million after the occurrence of the earliest of the following events: (a) the Company or ZB17 undergoes a Change of Control (as defined in the Athanor Agreement), (b) the consummation by the Company or ZB17 of a sale of assets resulting in net proceeds in excess of $500.0 million; or (c) First Indication Regulatory Approval (as defined in the Athanor Agreement). In addition, pursuant to the terms of the Athanor Agreement, the Company agreed to pay an amount equal to 2% of Net Sales (as defined in the Athanor Agreement) for the Product (as defined in the Athanor Agreement) to the extent such Net Sales (collectively, the “Net Sales Payments”) are the subject of a royalty payment under the 2023 Lilly License. The upfront fee was paid as of December 31, 2025.</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Athanor Agreement contains representations, warranties and covenants by the parties in addition to the terms described above and shall remain in effect on a country-by-country basis until the expiration of the obligation to pay the Net Sales Payments.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300,000,000 Class A Ordinary Shares, par value of $0.0001 and 1,000,000 preferred shares, par value of $0.0001.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ATM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and/or units having an aggregate public offering price of up to $300.0 million. In connection with the filing of the Shelf Registration Statement, the Company also entered into a sales agreement (the “Sales Agreement”) with Leerink Partners LLC, relating to the sale of the Company’s Class A Ordinary Shares having an aggregate gross sales price of up to $125.0 million, from time to time through Leerink Partners LLC, acting as sales agent (the “ATM”).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no Class A Ordinary Shares were sold under the ATM.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$114.0 million of Class A Ordinary Shares remained available for sale under the ATM.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2026 Equity Offering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2026, the Company entered into an underwriting agreement with Leerink Partners LLC, Piper Sandler &amp; Co. and Cantor Fitzgerald &amp; Co., as representatives of the several underwriters listed therein, pursuant to which the Company issued and sold 21,200,000 Class A Ordinary Shares, par value $0.0001 per share, at a price to the public of $6.25 per share, which included 3,000,000 additional Class A Ordinary Shares sold upon exercise in full by the underwriters of their option to purchase additional Class A Ordinary Shares in the offering, along with pre-funded warrants to purchase 1,800,000 Class A Ordinary Shares at a price to the public of $6.249 per Pre-Funded Warrant, which represents the per share public offering price for the Shares less the $0.001 exercise price of each Pre-Funded Warrant (the “February 2026 Equity Offering”). The net proceeds from the February 2026 Equity Offering were approximately $134.6 million after deducting underwriting discounts and commissions and offering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February 2026 Equity Offering, the Company sold to accredited investors pre-funded warrants to purchase up to 1,800,000 Class A Ordinary Shares at a price of $6.249 per pre-funded warrant for an aggregate purchase price of approximately $11.2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there were an aggregate 29,295,396 and 27,495,396 pre-funded warrants outstanding, respectively, each with an exercise price of $0.001.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no Class A Ordinary Shares were issued in connection with the exercise of Pre-Funded Warrants.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Pre-Funded Warrant is exercisable for one Class A Ordinary Share at any time or times until the Pre-Funded Warrants are exercised in full. A holder of the Pre-Funded Warrants (together with its affiliates and other attribution parties) may not exercise any portion of a Pre-Funded Warrant to the extent that immediately prior to or after giving effect to such exercise the holder would beneficially own more than 4.99% or 9.99%, depending on the holder of the Company’s outstanding Class A Ordinary Shares immediately after exercise, which percentage may be increased or decreased to any other percentage specified not in excess of 19.99% at the holder’s election upon 61 days’ notice to the Company subject to the terms of the Pre-Funded Warrants.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Reserved for Issuance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reserved for issuance as of September 30, 2026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
        </w:trPr>
        <w:tc>
          <w:tcPr>
            <w:tcW w:w="79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pre-funded warrants to purchase Class A Ordinary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29,295,396</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and settlement of options to purchase Class A Ordinary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21,037,518</w:t>
            </w:r>
          </w:p>
        </w:tc>
      </w:tr>
      <w:tr>
        <w:trPr>
          <w:trHeight w:val="27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2023 Equity Incentive Plan and ESPP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571,473</w:t>
            </w:r>
          </w:p>
        </w:tc>
      </w:tr>
      <w:tr>
        <w:trPr>
          <w:trHeight w:val="26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issuable upon release of restricted share units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261,642</w:t>
            </w:r>
          </w:p>
        </w:tc>
      </w:tr>
      <w:tr>
        <w:trPr>
          <w:trHeight w:val="2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reserved for issuance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51,166,029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2023, the Zura Bio Limited 2023 Equity Incentive Plan (the “Equity Incentive Plan”) was approved, became effective on March 19, 2023, and was amended on June 1, 2023 and June 17, 2026. The Equity Incentive Plan allows for the grant of share options, both incentive and nonqualified share options; share appreciation rights, alone or in conjunction with other awards; restricted shares awards (“RSAs”) and restricted share units (“RSUs”); incentive bonuses, which may be paid in cash, shares, or a combination thereof; and other share-based awards to employees, officers, non-employee directors and other service providers. The Company has granted share options, RSUs and RSAs that generally vest over four years and expire after 10 years.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 A Ordinary Shares issuable under the Equity Incentive Plan are subject to an annual increase on January 1st of each calendar year beginning on January 1, 2024, and ending on and including January 1, 2029, in accordance with the Equity Incentive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16, 2023, the Zura Bio Limited 2023 Employee Share Purchase Plan (the “ESPP”) was approved and became effective on March 19, 2023. The ESPP enables eligible employees of the Company and designated affiliates to purchase Class A Ordinary Shares at a discount of 15%. As of September 30, 2026, no offering periods had commenced and no shares had been issued under the ESPP.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A Ordinary Shares reserved for future issuances under the Equity Incentive Plan and the ESPP increased in accordance with the respective plans on January 1, 2026. As of September 30, 2026, a maximum of 20,573,023 Class A Ordinary Shares were authorized for issuance under the Equity Incentive Plan and the ESPP, collectively.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averaging the vesting period and the contractual life of the share options granted.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the share options granted during the nine months ended September 30, 2026 and 2025:</w:t>
      </w:r>
    </w:p>
    <w:p>
      <w:pPr>
        <w:spacing w:after="0" w:line="39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2100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7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share option activity for the nine months ended September 30, 2026:</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62"/>
        </w:trPr>
        <w:tc>
          <w:tcPr>
            <w:tcW w:w="5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58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7"/>
        </w:trPr>
        <w:tc>
          <w:tcPr>
            <w:tcW w:w="58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16,463,011</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48,866</w:t>
            </w:r>
          </w:p>
        </w:tc>
      </w:tr>
      <w:tr>
        <w:trPr>
          <w:trHeight w:val="27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9,263,478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5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as of September 30,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20,986,518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25,680</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September 30,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8,950,324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approximately $38.6 million of total unrecognized share-based compensation expense related to options granted to employees, executives, and directors that is expected to be recognized over a weighted average period of 2.86 years.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options outstanding as of September 30, 2026 and December 31, 2025 in the table above are 3,810,440 options and 2,843,814 options, respectively, to purchase Class A Ordinary Shares issued to certain directors, executives, and employees outside of the Equity Incentive Plan.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nine months ended September 30, 2026 and 2025 was $4.78 and $0.97,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Share Options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21, 2026, the Company granted 505,881 options to purchase Class A Ordinary Shares (the “CEO Option Award”) to the Chief Executive Officer. The CEO Option Award will vest in full on the first date upon which both of the following goals are achieved, subject to the CEO’s continued service through such date: (a) the Company’s completion of an equity raise above a specified amount prior to a specified date, which condition was satisfied by the completion of the February 2026 Equity Offering, and (b) the volume-weighted average price of a Class A ordinary share of the Company equals or exceeds a specified price over a period of 30 consecutive trading days, prior to December 31, 2030. These awards have an exercise price of $6.32 and become exercisable when vested and both conditions are satisfied. These awards expire 10 years from the date of grant. The grant date fair value of these Market-Based Share Options was $4.42 per option, estimated using a Monte Carlo simulation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following weighted-average assumptions were used at the grant date to determine the fair value of Company’s market-based share options granted during the nine months ended September 30, 2026:</w:t>
      </w:r>
    </w:p>
    <w:p>
      <w:pPr>
        <w:spacing w:after="0" w:line="264"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9"/>
        </w:trPr>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6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6.32</w:t>
            </w:r>
          </w:p>
        </w:tc>
      </w:tr>
      <w:tr>
        <w:trPr>
          <w:trHeight w:val="26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r>
      <w:tr>
        <w:trPr>
          <w:trHeight w:val="27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24"/>
                <w:szCs w:val="24"/>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6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2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EFF"/>
          </w:tcPr>
          <w:p>
            <w:pPr>
              <w:spacing w:after="0"/>
              <w:rPr>
                <w:sz w:val="24"/>
                <w:szCs w:val="24"/>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market-based share options was $0.6 million and $0.0 million for the three months ended September 30, 2026 and 2025, respectively, and $2.2 million and $0.3 million for the nine months ended September 30, 2026 and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nine months ended September 30, 2026:</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90"/>
        </w:trPr>
        <w:tc>
          <w:tcPr>
            <w:tcW w:w="818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(261,640)</w:t>
            </w:r>
          </w:p>
        </w:tc>
        <w:tc>
          <w:tcPr>
            <w:tcW w:w="1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September 30,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there was approximately $1.0 million of total unrecognized share-based compensation expense related to RSUs granted to certain employees, executives, and directors under the Company’s Equity Incentive Plan that is expected to be recognized over a weighted average period of 0.7 years.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RSUs was $0.4 million and $0.5 million for the three months ended September 30, 2026 and 2025, respectively, and $1.0 million and $1.3 million for the nine months ended September 30, 2026 and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RSA activity for the nine months ended September 30, 2026: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4"/>
        </w:trPr>
        <w:tc>
          <w:tcPr>
            <w:tcW w:w="818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RSAs</w:t>
            </w:r>
          </w:p>
        </w:tc>
        <w:tc>
          <w:tcPr>
            <w:tcW w:w="240" w:type="dxa"/>
            <w:vAlign w:val="bottom"/>
          </w:tcPr>
          <w:p>
            <w:pPr>
              <w:spacing w:after="0"/>
              <w:rPr>
                <w:sz w:val="17"/>
                <w:szCs w:val="17"/>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RSAs outstanding as of December 31, 2025</w:t>
            </w:r>
          </w:p>
        </w:tc>
        <w:tc>
          <w:tcPr>
            <w:tcW w:w="148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w w:val="99"/>
              </w:rPr>
              <w:t>249,997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6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center"/>
              <w:ind w:left="637"/>
              <w:spacing w:after="0"/>
              <w:rPr>
                <w:sz w:val="20"/>
                <w:szCs w:val="20"/>
                <w:color w:val="auto"/>
              </w:rPr>
            </w:pPr>
            <w:r>
              <w:rPr>
                <w:rFonts w:ascii="Times New Roman" w:cs="Times New Roman" w:eastAsia="Times New Roman" w:hAnsi="Times New Roman"/>
                <w:sz w:val="18"/>
                <w:szCs w:val="18"/>
                <w:color w:val="auto"/>
              </w:rPr>
              <w:t>(124,998)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RSAs outstanding as of September 30, 2026</w:t>
            </w:r>
          </w:p>
        </w:tc>
        <w:tc>
          <w:tcPr>
            <w:tcW w:w="1480" w:type="dxa"/>
            <w:vAlign w:val="bottom"/>
            <w:tcBorders>
              <w:bottom w:val="single" w:sz="8" w:color="auto"/>
            </w:tcBorders>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w w:val="99"/>
              </w:rPr>
              <w:t>124,999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approximately $0.5 million of total unrecognized share-based compensation expense related to RSAs granted to a certain director under the Company’s Equity Incentive Plan that is expected to be recognized over a weighted average period of 0.5 years.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RSAs was $0.3 million for each of the three months ended September 30, 2026 and 2025, respectively, and $0.8 million for each of the nine months ended September 30, 2026 and 2025,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for all equity arrangements for the three and nine months ended September 30, 2026 and 2025 was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5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9"/>
        </w:trPr>
        <w:tc>
          <w:tcPr>
            <w:tcW w:w="50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64"/>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w:t>
            </w:r>
          </w:p>
        </w:tc>
      </w:tr>
      <w:tr>
        <w:trPr>
          <w:trHeight w:val="29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401(k) defined contribution retirement plan (the “401(k) Plan”) for all of its U.S. employees. For the 401(k) Plan, the Company makes a matching contribution up to a maximum of 6% of an employee’s annual salary. For U.K. employees, the Company contributes up to 6% of an employee’s annual salary to defined contribution retirement pension plans (the “U.K. Defined Contribution Plan” and, together with the 401(k) Plan, the “Defined Contribution Plans”). Contributions made by the Company vest 100% upon contribution. The expense recorded for the Defined Contribution Plans was $0.2 million and $0.1 million for the three months ended September 30, 2026 and 2025, respectively, and $0.5 million and $0.4 million for the nine months ended September 30, 2026 and 2025,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2026, the Company commenced its first offering under the ESPP. The initial offering began October 1, 2026, ends on July 31, 2028, unless terminated earlier, and consists of four purchase periods. The purchase periods end on the last trading day of January and July of each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consolidated financial statements as of December 31, 2025, included in the 2025 Annual Report, and in conjunction with the unaudited condensed consolidated financial statements and notes thereto included elsewhere in this Quarterly Report.</w:t>
      </w:r>
    </w:p>
    <w:p>
      <w:pPr>
        <w:spacing w:after="0" w:line="20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our 2025 Annual Report, as supplemented by the risks and uncertainties described in “Risk Factors” Item 1.A. Risk Factors in Part II of this Quarterly Report, that could cause actual results to differ materially from historical results or anticipated results. You should carefully read the information under “Cautionary Note Regarding Forward-Looking Statements” in this Quarterly Report. Unless the context otherwise requires, references in this “Management’s Discussion and Analysis of Financial Condition and Results of Operations” to “we,” “us,” and “our” refer to Zura Bio Limited, a Cayman Islands exempted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 clinical-stage biotech company developing novel and differentiated medicines to meaningfully improve the lives of patients with serious and debilitating autoimmune and inflammatory diseases, including those with significant unmet medical need. These diseases are often chronic and biologically complex, and many patients do not achieve durable disease control with currently available therapies.</w:t>
      </w:r>
    </w:p>
    <w:p>
      <w:pPr>
        <w:spacing w:after="0" w:line="203" w:lineRule="exact"/>
        <w:rPr>
          <w:sz w:val="20"/>
          <w:szCs w:val="20"/>
          <w:color w:val="auto"/>
        </w:rPr>
      </w:pPr>
    </w:p>
    <w:p>
      <w:pPr>
        <w:ind w:right="100" w:firstLine="324"/>
        <w:spacing w:after="0" w:line="232" w:lineRule="exact"/>
        <w:rPr>
          <w:sz w:val="20"/>
          <w:szCs w:val="20"/>
          <w:color w:val="auto"/>
        </w:rPr>
      </w:pPr>
      <w:r>
        <w:rPr>
          <w:rFonts w:ascii="Times New Roman" w:cs="Times New Roman" w:eastAsia="Times New Roman" w:hAnsi="Times New Roman"/>
          <w:sz w:val="18"/>
          <w:szCs w:val="18"/>
          <w:color w:val="auto"/>
        </w:rPr>
        <w:t>We focus on immune-mediated diseases in which translational and clinical evidence supports the involvement of specific biological pathways in disease pathogenesis. We are currently advancing our lead product candidate in Phase 2 clinical trials and are evaluating development opportunities across our pipeline of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antibody assets, with a focus on indications with unmet medical need and commercial potential.</w:t>
      </w:r>
    </w:p>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lead product candidate, tibulizumab (ZB-106), is a bispecific dual-antagonist antibody engineered by the fusion of tabalumab with a single-chain variable fragment (scFv) derived from ixekizumab (Taltz</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Tibulizumab is designed to neutralize interleukin-17 and B-cell activating factor, two cytokines implicated in autoimmune and inflammatory diseases.</w:t>
      </w:r>
    </w:p>
    <w:p>
      <w:pPr>
        <w:spacing w:after="0" w:line="203"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In May 2025, we initiated TibuSHIELD, a global, randomized, double-blind, placebo-controlled Phase 2 clinical study evaluating tibulizumab in participants with moderate to severe hidradenitis suppurativa (“HS”). Enrollment in TibuSHIELD is complete, exceeding the initial enrollment target with 247 participants. The study is designed to assess the safety, tolerability, and efficacy of tibulizumab in the relevant patient population. The study will evaluate tibulizumab over a 32-week period, which includes a 16-week placebo-controlled efficacy assessment period followed by a 16-week optional open-label extension (“OLE”). The primary endpoint of the study is the percent change from baseline in total abscess and inflammatory nodule (“AN”) count at week 16. Secondary endpoints include the proportion of participants achieving HiSCR50 or HiSCR75, defined as at least a 50% or 75% reduction in AN count without an increase in abscesses or draining fistulas at week 16. Topline results are expected to be available in the fourth quarter of 2026.</w:t>
      </w:r>
    </w:p>
    <w:p>
      <w:pPr>
        <w:spacing w:after="0" w:line="19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December 2024, we initiated TibuSURE, a global, randomized, double-blind, placebo-controlled Phase 2 clinical study evaluating tibulizumab in participants with early diffuse cutaneous systemic sclerosis (“SSc”). Enrollment in TibuSURE is complete, exceeding the initial enrollment target with 91 participants. The study is designed to assess the safety, tolerability, and efficacy of tibulizumab in the relevant patient population. The study will evaluate tibulizumab over a 52-week period, which includes a 24-week placebo-controlled efficacy period followed by a 28-week optional OLE. The primary endpoint is change from baseline in the modified Rodnan Skin Score. Key efficacy endpoints include lung involvement, assessed by quantitative high-resolution computed tomography and forced vital capacity; physical function, measured by the Health Assessment Questionnaire-Disability Index; and the revised Combined Response Index in Systemic Sclerosis. Topline results are expected to be available in the first half of 2027.</w:t>
      </w:r>
    </w:p>
    <w:p>
      <w:pPr>
        <w:spacing w:after="0" w:line="21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An Investigational New Drug (“IND”) application for a global, randomized, double-blind, placebo-controlled Phase 2 clinical study evaluating tibulizumab in participants with polymyalgia rheumatica (“PMR”) was cleared by the FDA, supporting the study initiation planned for year end 2026. The study is designed to assess the safety, tolerability and efficacy of tibulizumab in the relevant patient population.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In addition, we are evaluating further development and strategic options for tibulizumab and our other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assets.</w:t>
      </w:r>
    </w:p>
    <w:p>
      <w:pPr>
        <w:spacing w:after="0" w:line="239" w:lineRule="exact"/>
        <w:rPr>
          <w:sz w:val="20"/>
          <w:szCs w:val="20"/>
          <w:color w:val="auto"/>
        </w:rPr>
      </w:pPr>
    </w:p>
    <w:p>
      <w:pPr>
        <w:ind w:right="60" w:firstLine="324"/>
        <w:spacing w:after="0" w:line="228" w:lineRule="exact"/>
        <w:rPr>
          <w:sz w:val="20"/>
          <w:szCs w:val="20"/>
          <w:color w:val="auto"/>
        </w:rPr>
      </w:pPr>
      <w:r>
        <w:rPr>
          <w:rFonts w:ascii="Times New Roman" w:cs="Times New Roman" w:eastAsia="Times New Roman" w:hAnsi="Times New Roman"/>
          <w:sz w:val="18"/>
          <w:szCs w:val="18"/>
          <w:color w:val="auto"/>
        </w:rPr>
        <w:t>Torudokimab (ZB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880) is a fully human monoclonal antibody that neutralizes interleukin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 an alarmin cytokine involved in inflammatory signaling, thereby inhibiting ST2-related inflammatory signaling. The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33/ST2 pathway has been implicated in inflammatory and immune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mediated diseases, including chronic obstructive pulmonary disease and asthma, and remains the subject of ongoing clinical and scientific investigation. Torudokimab was evaluated in clinical studies prior to our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licensing of the program, and we continue to monitor developments in the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 pathway as we consider potential future development opportunities.</w:t>
      </w:r>
    </w:p>
    <w:p>
      <w:pPr>
        <w:spacing w:after="0" w:line="185" w:lineRule="exact"/>
        <w:rPr>
          <w:sz w:val="20"/>
          <w:szCs w:val="20"/>
          <w:color w:val="auto"/>
        </w:rPr>
      </w:pPr>
    </w:p>
    <w:p>
      <w:pPr>
        <w:jc w:val="both"/>
        <w:ind w:right="160" w:firstLine="324"/>
        <w:spacing w:after="0" w:line="236" w:lineRule="exact"/>
        <w:rPr>
          <w:sz w:val="20"/>
          <w:szCs w:val="20"/>
          <w:color w:val="auto"/>
        </w:rPr>
      </w:pPr>
      <w:r>
        <w:rPr>
          <w:rFonts w:ascii="Times New Roman" w:cs="Times New Roman" w:eastAsia="Times New Roman" w:hAnsi="Times New Roman"/>
          <w:sz w:val="18"/>
          <w:szCs w:val="18"/>
          <w:color w:val="auto"/>
        </w:rPr>
        <w:t>Crebankitug (ZB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168) is a fully human monoclonal antibody that neutralizes the interleukin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 receptor alpha chain, a shared receptor component of the interleukin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 and thymic stromal lymphopoietin signaling pathways. Crebankitug has been evaluated in Phase 1 and Phase 1b clinical studies, and we are assessing potential therapeutic indications and future development strategies for this asset.</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Since our inception, our operations have focused on organizing and staffing our company, business planning, raising capital, and entering into collaboration agreements for conducting manufacturing, clinical trials and other research and development activities. Our lead product candidate is in the clinical testing stage; however, prior to the initiation of TibuSHIELD and TibuSURE in May 2025 and December 2024, respectively, we had not conducted any clinical trials. We do not have any product candidates approved for sale and have not generated any revenue from product sales. We have funded our operations primarily through private and public equity financings, having raised aggregate gross proceeds of approximately $421.5 million as of the date hereof.</w:t>
      </w:r>
    </w:p>
    <w:p>
      <w:pPr>
        <w:spacing w:after="0" w:line="19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for the three and nine months ended September 30, 2026 was $25.8 million and $76.4 million, respectively. As of September 30, 2026, we had an accumulated deficit of $300.9 million. We anticipate that our expenses will increase significantly in connection with our ongoing and future activities, as we:</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trials for our product candidates or future potential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materials for clinical trials or potential commercial sales;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in the clinical, quality, regulatory, manufacturing, scientific and administrative functions;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manufacturing and distribution capabilities to commercialize any product candidates for which we may obtain regulatory approval;</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52"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2026 Equity Offering</w:t>
      </w:r>
    </w:p>
    <w:p>
      <w:pPr>
        <w:spacing w:after="0" w:line="25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February 2026, we sold 21,200,000 Class A Ordinary Shares (the “Shares”), par value $0.0001 per share, at a price to the public of $6.25 per share, along with pre-funded warrants (the “Pre-Funded Warrants”) to purchase 1,800,000 Class A Ordinary Shares at a price to the public of $6.249 per Pre-Funded Warrant, which represents the per share public</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offering price for the Shares less the $0.001 exercise price of each Pre-Funded Warrant (the “February 2026 Equity Offering”). The net proceeds from the February 2026 Equity Offering were approximately $134.6 million after deducting underwriting discounts and commissions and offering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Lilly License</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26, 2023, our consolidated subsidiary ZB17 entered into a license agreement with Eli Lilly and Company ("Lilly"), to develop, manufacture and commercialize tibulizumab.</w:t>
      </w:r>
    </w:p>
    <w:p>
      <w:pPr>
        <w:spacing w:after="0" w:line="18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We are obligated to make payments to Lilly (a) for 4 development milestone payments up to an aggregate of $155.0 million, and sales milestone payments up to an aggregate of $440.0 million based on respective thresholds of net sales of products developed from tibulizumab; and (b)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(collectively, the “2023 Lilly Contingent Payments”). As of September 30, 2026, none of the 2023 Lilly Contingent Payments are due and accordingly will not be recorded in our financial statements until they are due.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Lilly License</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8, 2022, our consolidated subsidiary, Z33, entered into a license agreement with Lilly to develop, manufacture, and commercialize torudokimab.</w:t>
      </w:r>
    </w:p>
    <w:p>
      <w:pPr>
        <w:spacing w:after="0" w:line="189"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We are obligated to make payments to Lilly for (a) 10 commercial, development and regulatory milestone payments up to an aggregate of $155.0 million and sales milestone payments up to an aggregate of $440.0 million based on respective thresholds of net sales of products developed from the licensed compound; and (b) an annual earned royalty at a marginal royalty rate in the mid-single to low-double digits, with increasing royalty percentage rates based on net sales in the respective calendar year, based on a percentage of sales within varying thresholds for a certain period of the year (collectively, the “2022 Lilly Contingent Payments”). As of September 30, 2026, none of the 2022 Lilly Contingent Payments are due and accordingly will not be recorded in our financial statements until they are due.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Agreement</w:t>
      </w:r>
    </w:p>
    <w:p>
      <w:pPr>
        <w:spacing w:after="0" w:line="21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March 22, 2022, we entered into a license agreement and a Series A-1 Subscription and Shareholder’s Agreement with Pfizer to develop, manufacture, and commercialize crebankitug.</w:t>
      </w:r>
    </w:p>
    <w:p>
      <w:pPr>
        <w:spacing w:after="0" w:line="18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We are obligated to make payments to Pfizer for (a)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Products, if any (collectively, the “Pfizer Contingent Payments”). As of September 30, 2026, none of the Pfizer Contingent Payments are due and accordingly will not be recorded in our financial statements until they are due.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Trends</w:t>
      </w:r>
    </w:p>
    <w:p>
      <w:pPr>
        <w:spacing w:after="0" w:line="216"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Macroeconomic conditions, including uncertainties associated with the changes to and by the United States federal government administration, the ongoing conflicts in Iran and the broader Middle East, the ongoing conflict between Ukraine and Russia, conflicts in Mexico, international trade policies (including tariffs, sanctions, and trade barriers),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Recent tariffs and trade restrictions have increased costs and complexity for many businesses, which may also have an adverse impact on our business.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Research and development (“R&amp;D”) expenses consist of all direct and indirect operating expenses incurred to support our clinical development, including research activities conducted in support of such programs, manufacturing activities, consulting fees for clinical and manufacturing advisory services, contract research organization (“CRO”) costs, costs related to manufacturing materials for preclinical studies and clinical trials, payroll and benefits (including share-based compensation for employees supporting clinical and development activities), licensing fees, and data and study acquisition costs. Expenses are recognized as the related goods are delivered or the services are performed.</w:t>
      </w:r>
    </w:p>
    <w:p>
      <w:pPr>
        <w:spacing w:after="0" w:line="212"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accounting principles generally accepted in the United States of America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 R&amp;D expenses also include the remeasurement of the research and development license consideration liability.</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could include: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expenses:</w:t>
      </w:r>
    </w:p>
    <w:p>
      <w:pPr>
        <w:spacing w:after="0" w:line="241" w:lineRule="exact"/>
        <w:rPr>
          <w:sz w:val="20"/>
          <w:szCs w:val="20"/>
          <w:color w:val="auto"/>
        </w:rPr>
      </w:pPr>
    </w:p>
    <w:p>
      <w:pPr>
        <w:ind w:left="660" w:hanging="328"/>
        <w:spacing w:after="0" w:line="265" w:lineRule="auto"/>
        <w:tabs>
          <w:tab w:leader="none" w:pos="65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investigative sites and consultants to conduct our clinical trials;</w:t>
      </w:r>
    </w:p>
    <w:p>
      <w:pPr>
        <w:spacing w:after="0" w:line="190"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preclinical studies and clinical trials, including fees paid to contract manufacturing organizations (“CMOs”);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our licensing agreements;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3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Internal expenses:</w:t>
      </w:r>
    </w:p>
    <w:p>
      <w:pPr>
        <w:spacing w:after="0" w:line="241" w:lineRule="exact"/>
        <w:rPr>
          <w:sz w:val="20"/>
          <w:szCs w:val="20"/>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18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trials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and expand our clinical trial activities. Our future expenses may vary significantly each period based on factors such as:</w:t>
      </w:r>
    </w:p>
    <w:p>
      <w:pPr>
        <w:spacing w:after="0" w:line="1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trials;</w:t>
      </w:r>
    </w:p>
    <w:p>
      <w:pPr>
        <w:spacing w:after="0" w:line="22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 which may vary based on the number of doses that patients receive and the number of visits for the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clinical trial;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approval;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clinical trials and follow-up;</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in a timely manner, or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insurance, including product liability insurance, in connection with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General and administrative (“G&amp;A”) expenses primarily consist of professional fees for legal, accounting, and consulting costs relating to corporate matters, as well as salaries and related costs for personnel in executive and administrative functions and board of director fees, including share-based compensation.</w:t>
      </w:r>
    </w:p>
    <w:p>
      <w:pPr>
        <w:spacing w:after="0" w:line="19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our G&amp;A expenses will increase in the future as we continue to support research and development activities and incur costs of operating as a public company. These costs include headcount to support expanded operations and infrastructure.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5"/>
        </w:trPr>
        <w:tc>
          <w:tcPr>
            <w:tcW w:w="4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4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63"/>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7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63"/>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 (in thousands):</w:t>
      </w:r>
    </w:p>
    <w:p>
      <w:pPr>
        <w:spacing w:after="0" w:line="3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40" w:type="dxa"/>
            <w:vAlign w:val="bottom"/>
          </w:tcPr>
          <w:p>
            <w:pPr>
              <w:spacing w:after="0"/>
              <w:rPr>
                <w:sz w:val="18"/>
                <w:szCs w:val="18"/>
                <w:color w:val="auto"/>
              </w:rPr>
            </w:pPr>
          </w:p>
        </w:tc>
        <w:tc>
          <w:tcPr>
            <w:tcW w:w="112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expenses by program:</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Tibulizumab portfolio</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Tibulizumab SSc program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Tibulizumab HS program</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Tibulizumab PMR program</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Tibulizumab program general</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Tibulizumab portfolio</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product candidates (torudokimab and crebankitug)</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expenses</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6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increased by $7.5 million for the three months ended September 30, 2026 compared to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The increase was primarily due to:</w:t>
      </w:r>
    </w:p>
    <w:p>
      <w:pPr>
        <w:spacing w:after="0" w:line="21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increase in costs for tibulizumab that was not specific to an indication, primarily driven by increased drug manufacturing costs;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increase in compensation, including share-based compensation, primarily driven by increased personnel in research and development functions;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for initiation costs related to evaluating tibulizumab in adults with PMR; and</w:t>
      </w:r>
    </w:p>
    <w:p>
      <w:pPr>
        <w:spacing w:after="0" w:line="23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increase in costs as we continue execution of our Phase 2 clinical trials evaluating tibulizumab in adults with HS and SSc, driven by costs incurred for CRO fees to support the conduct of our clinical trials.</w:t>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research and development expenses will continue to increase in the future as we conduct research and development activities.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$1.7 million for the three months ended September 30, 2026 as compared to the three months ended September 30, 2025. The increase was primarily due to higher share-based compensation expense in the third quarter of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increased by $0.2 million for the three months ended September 30, 2026 as compared to the three months ended September 30, 2025.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primarily due to a higher cash balance for the third quarter of 2026 due to the proceeds from the February 2026 Equity Offering.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was consistent for the three months ended September 30, 2026 as compared to the three months ended September 30,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5"/>
        </w:trPr>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4"/>
        </w:trPr>
        <w:tc>
          <w:tcPr>
            <w:tcW w:w="54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54,943</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70"/>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63"/>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7"/>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63"/>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(76,352)</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 (in thousands):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45"/>
        </w:trPr>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11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0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expenses by program:</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Tibulizumab portfolio</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Tibulizumab SSc program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77"/>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Tibulizumab HS program</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Tibulizumab PMR program</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Tibulizumab program general</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57"/>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Tibulizumab portfolio</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7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product candidates (torudokimab and crebankitug)</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expenses</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3"/>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54,943</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increased by $23.8 million for the nine months ended September 30, 2026 compared to the nine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The increase was primarily due to:</w:t>
      </w:r>
    </w:p>
    <w:p>
      <w:pPr>
        <w:spacing w:after="0" w:line="219" w:lineRule="exact"/>
        <w:rPr>
          <w:sz w:val="20"/>
          <w:szCs w:val="20"/>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$7.4 million and $2.9 million increase in costs as we continue execution of our Phase 2 clinical trials evaluating tibulizumab in adults with HS and SSc, respectively, driven by costs incurred for CRO fees to support the conduct of our clinical trials;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 million increase in costs for tibulizumab that was not specific to an indication, primarily driven by increased drug manufacturing costs;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$5.5 million increase in compensation, including share-based compensation, driven by increased personnel in research and development functions;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million increase for initiation costs related to evaluating tibulizumab in adults with PMR.</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research and development expenses will continue to increase in the future as we conduct research and development activities.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1"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increased by $2.9 million for the nine months ended September 30, 2026 as compared to the nine months ended September 30, 2025. The increase was primarily due to an increase in compensation expenses, including share-based compensation, for personnel in executive and administrative functions and our board of directors, and an increase in professional fees to support our growing organization as we continue execution of our Phase 2 tibulizumab trials in SSc and HS and initiate evaluation in PMR.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Interest income decreased by $0.1 million for the nine months ended September 30, 2026 as compared to the nine months ended September 30, 2025. This is primarily due to lower interest rates, as well as a lower cash balance for the majority of the first quarter of 2026, as the proceeds from the February 2026 Equity Offering were not received until the end of February.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Other income, net increased by $0.6 million for the nine months ended September 30, 2026 compared to the nine months ended September 30, 2025, primarily due to the receipt of an R&amp;D Credit during the nine months ended September 30, 2026.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Since our inception, we have not reached successful commercialization of our product candidates or generated any revenue and we expect to continue to incur significant operating losses for the foreseeable future. We will require ongoing financing in order to continue our research and development activities and may never become profitable. As of September 30, 2026, we had cash and cash equivalents of $187.7 million. We have funded our operations primarily through private and public equity financings, having raised aggregate gross proceeds of approximately $421.5 million as of the date hereof.</w:t>
      </w:r>
    </w:p>
    <w:p>
      <w:pPr>
        <w:spacing w:after="0" w:line="2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1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To date, we have not generated revenue from any source, including the commercial sales of any approved drug products, and we do not expect to generate revenue from the commercial sales of our product candidates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the commercial sale of our product candidates, and we do not expect to generate revenue from the commercial sales of our product candidates unless and until we obtain regulatory approval of, and commercialize, our product candidates.</w:t>
      </w:r>
    </w:p>
    <w:p>
      <w:pPr>
        <w:spacing w:after="0" w:line="21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21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will also be responsible for significant future contingent payments to our licensors and other parties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our licensors and other parties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In addition to milestone payments, we are also required to pay ongoing royalties in the mid-single digits to low double-digits percentage range based upon thresholds of net sales of products.</w:t>
      </w:r>
    </w:p>
    <w:p>
      <w:pPr>
        <w:spacing w:after="0" w:line="212"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Based on our current business plans, we believe that our existing cash and cash equivalents should be sufficient to fund our operating expenses and capital requirements through at least the end of 2028. Our estimate as to how long we expect our existing cash and cash equivalents to be able to fund our operating expenses and capital requirements is based on assumptions that may prove to be wrong, and we could use our available capital resources sooner than we currently expect. Changing circumstances, some of which are beyond our control, could result in less cash available to us or cause us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 capital significantly faster than we currently anticipate, and we may need to seek additional funds sooner than planned.</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product candidates that we may pursue;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milestone payments to our licensors and other parties;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and expand our commercial infrastructure and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distributions,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to our licensors and other parties;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93"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p>
      <w:pPr>
        <w:spacing w:after="0" w:line="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13335</wp:posOffset>
            </wp:positionV>
            <wp:extent cx="19634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33" w:lineRule="exact"/>
        <w:rPr>
          <w:sz w:val="20"/>
          <w:szCs w:val="20"/>
          <w:color w:val="auto"/>
        </w:rPr>
      </w:pPr>
    </w:p>
    <w:tbl>
      <w:tblPr>
        <w:tblLayout w:type="fixed"/>
        <w:tblInd w:w="1100" w:type="dxa"/>
        <w:tblCellMar>
          <w:top w:w="0" w:type="dxa"/>
          <w:left w:w="0" w:type="dxa"/>
          <w:bottom w:w="0" w:type="dxa"/>
          <w:right w:w="0" w:type="dxa"/>
        </w:tblCellMar>
      </w:tblPr>
      <w:tr>
        <w:trPr>
          <w:trHeight w:val="245"/>
        </w:trPr>
        <w:tc>
          <w:tcPr>
            <w:tcW w:w="6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6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Borders>
              <w:bottom w:val="single" w:sz="8" w:color="auto"/>
            </w:tcBorders>
          </w:tcPr>
          <w:p>
            <w:pPr>
              <w:spacing w:after="0"/>
              <w:rPr>
                <w:sz w:val="22"/>
                <w:szCs w:val="22"/>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(42,537)</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(37,481)</w:t>
            </w:r>
          </w:p>
        </w:tc>
      </w:tr>
      <w:tr>
        <w:trPr>
          <w:trHeight w:val="21"/>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1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increased by $16.8 million to $59.3 million for the nine months ended September 30, 2026 compared to the nine months ended September 30, 2025. This was primarily due to an increase in our net loss of $24.9 million, which is driven by an increase in our operating costs.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for each of the nine months ended September 30, 2026 and 2025 was de minimis.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14"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2026 was $137.6 million, which related primarily to net proceeds from the February 2026 Equity Offering, after underwriters’ fees and discounts. Net cash provided by financing activities for the nine months ended September 30, 2025 was $5.2 million, which primarily related to net proceeds, after placement agent commissions, from the sale of Class A Ordinary Shares under our ATM.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or will enter into agreements in the normal course of business with CROs, CMOs and other vendors for research and development services for operating purposes, which are generally cancelable upon written notice. Some third-party CMOs have intellectual property, such as patents and/or know-how with an annual fee and royalty-bearing license to their customers, that forms part of the manufacturing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Lonza License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may terminate the Lonza License at any time upon 60 days’ notice, with or without cause. Lonza may terminate the Lonza License for cause upon a breach by us or for other commercially standard reasons.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Lonza License, we have a license fee of $0.4 million due to Lonza annually in the fourth quarter as a result of manufacturing drug substance with a third party other than Lonza since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WuXi Biologics License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2023, we entered into a cell line license agreement (the “Cell Line License Agreement”) with WuXi Biologics and its Affiliates (“WuXi Biologics”) for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we manufacture all of our commercial supplies of bulk drug product for WuXi Biologics Licensed Products with a manufacturer other than WuXi Biologics or its affiliates, we are required to make royalty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The Cell Line License Agreement will continue indefinitely unless terminated (i) by us upon three months’ prior written notice and our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September 30, 2026, there are no payments currently due under the Cell Line License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unaudited condensed consolidated financial statements, which have been prepared in accordance with U.S. GAAP, and on a basis consistent with those accounting principles followed by us and disclosed in Note 2 to our most recent annual audited consolidated financial statements in the 2025 Annual Report. The preparation of these unaudited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since December 31, 2025. For a description of our critical accounting policies that affect our significant judgments and estimates used in preparation of our unaudited condensed consolidated financial statements, refer to Item 7 in “Management’s Discussion and Analysis of Financial Condition and Results of Operations,” contained in the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for a description of recent accounting pronouncements applicable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remain an emerging growth company and may elect to extend the transition period for complying with new or revised accounting standards, which delays the adoption of these accounting standards.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 an exemption from compliance with the requirements of the Public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Oversight Board regarding the communication of critical audit matters in the auditor’s report on financial statements.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would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under the Securities Act and Securities Exchange Act of 1934, as amended (the “Exchange Act”). We may continue to be a smaller reporting company so long as either (i) the market value of Class A Ordinary Shares held by non-affiliates is less than $250.0 million or (ii) our annual revenue was less than $100.0 million during the most recently completed fiscal year and the market value of Class A Ordinary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2025 Annual Report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otherwise required by this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Principal Financial and Accounting Officer, as appropriate, to allow timely decisions regarding required disclosure. Our Chief Executive Officer and Principal Financial and Accounting Officer carried out an evaluation of the effectiveness of our disclosure controls and procedures, as defined in Rules 13a-15(e) and 15d-15(e) under the Exchange Act. Based upon that evaluation, our Chief Executive Officer and Principal Financial and Accounting Officer concluded that our disclosure controls and procedures were effective at a reasonable assurance level as of September 30, 2026.</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quarter ended September 30, 2026,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i w:val="1"/>
          <w:iCs w:val="1"/>
          <w:color w:val="auto"/>
        </w:rPr>
        <w:t>In addition to the other information contained elsewhere in this report, you should carefully consider the risks and uncertainties described in “Part I, Item 1A—Risk Factors” of the 2025 Annual Report,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 factors disclosure in our 2025 Annual Report is qualified by the information that is described in this Quarterly Report. The risks described in our 2025 Annual Report are not our only risks. Additional risks and uncertainties not currently known to us or that we currently deem to be immaterial also may materially adversely affect our business, financial condition or future results. There have been no material changes in our risk factors previously disclosed in our 2025 Annual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24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under the Exchange Act) adopted or terminated any “Rule 10b5-1 trading arrangement” or “non-Rule 10b5-1 trading arrangement,” as those terms are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2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Second Amended and Restated Memorandum of Association of Zura Bio Limited (incorporated by reference to Exhibit 3.1 to the Current</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Report on Form 8-K, filed with the SEC on March 24, 2023).</w:t>
              </w:r>
            </w:hyperlink>
          </w:p>
        </w:tc>
        <w:tc>
          <w:tcPr>
            <w:tcW w:w="5500" w:type="dxa"/>
            <w:vAlign w:val="bottom"/>
            <w:tcBorders>
              <w:top w:val="single" w:sz="8" w:color="0000FF"/>
            </w:tcBorders>
            <w:gridSpan w:val="7"/>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Specimen Warrant Certificate of Zura (incorporated by reference to Exhibit 4.6 of JATT’s Form S-4 (File No. 333-267005) filed with the</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SEC on August 19, 2022).</w:t>
              </w:r>
            </w:hyperlink>
          </w:p>
        </w:tc>
        <w:tc>
          <w:tcPr>
            <w:tcW w:w="7960" w:type="dxa"/>
            <w:vAlign w:val="bottom"/>
            <w:tcBorders>
              <w:top w:val="single" w:sz="8" w:color="0000FF"/>
            </w:tcBorders>
            <w:gridSpan w:val="11"/>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of Pre-Funded Warrant to Purchase Ordinary Shares (incorporated herein by reference to Exhibit 4.1 to the Company’s Current</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Report on Form 8-K, filed with the SEC on May 3, 2023).</w:t>
              </w:r>
            </w:hyperlink>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Form of Pre-Funded Warrant to purchase Ordinary Shares (incorporated by reference to Exhibit 4.1 to the Current Report on Form 8-K</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filed with the SEC on April 23, 2024).</w:t>
              </w:r>
            </w:hyperlink>
          </w:p>
        </w:tc>
        <w:tc>
          <w:tcPr>
            <w:tcW w:w="6980" w:type="dxa"/>
            <w:vAlign w:val="bottom"/>
            <w:tcBorders>
              <w:top w:val="single" w:sz="8" w:color="0000FF"/>
            </w:tcBorders>
            <w:gridSpan w:val="7"/>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Warrant to purchase Ordinary Shares (incorporated by reference to Exhibit 4.1 to the Current Report on Form 8-K filed with the</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SEC on August 21, 2024).</w:t>
              </w:r>
            </w:hyperlink>
          </w:p>
        </w:tc>
        <w:tc>
          <w:tcPr>
            <w:tcW w:w="7940" w:type="dxa"/>
            <w:vAlign w:val="bottom"/>
            <w:tcBorders>
              <w:top w:val="single" w:sz="8" w:color="0000FF"/>
            </w:tcBorders>
            <w:gridSpan w:val="10"/>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Warrant to purchase Ordinary Shares (incorporated by reference to Exhibit 4.1 to the Current Report on Form 8-K filed with the</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56">
              <w:r>
                <w:rPr>
                  <w:rFonts w:ascii="Times New Roman" w:cs="Times New Roman" w:eastAsia="Times New Roman" w:hAnsi="Times New Roman"/>
                  <w:sz w:val="18"/>
                  <w:szCs w:val="18"/>
                  <w:color w:val="0000FF"/>
                  <w:w w:val="98"/>
                </w:rPr>
                <w:t>SEC on April 17, 2025).</w:t>
              </w:r>
            </w:hyperlink>
          </w:p>
        </w:tc>
        <w:tc>
          <w:tcPr>
            <w:tcW w:w="8080" w:type="dxa"/>
            <w:vAlign w:val="bottom"/>
            <w:tcBorders>
              <w:top w:val="single" w:sz="8" w:color="0000FF"/>
            </w:tcBorders>
            <w:gridSpan w:val="11"/>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Form of Pre-Funded Warrant to purchase Ordinary Shares (incorporated by reference to Exhibit 4.1 to the Current Report on Form 8-K</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filed with the SEC on February 26, 2026).</w:t>
              </w:r>
            </w:hyperlink>
          </w:p>
        </w:tc>
        <w:tc>
          <w:tcPr>
            <w:tcW w:w="3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Form of Indemnity Agreement</w:t>
            </w:r>
          </w:p>
        </w:tc>
        <w:tc>
          <w:tcPr>
            <w:tcW w:w="7120" w:type="dxa"/>
            <w:vAlign w:val="bottom"/>
            <w:gridSpan w:val="14"/>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514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510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20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160" w:type="dxa"/>
            <w:vAlign w:val="bottom"/>
            <w:tcBorders>
              <w:top w:val="single" w:sz="8" w:color="0000FF"/>
            </w:tcBorders>
            <w:gridSpan w:val="15"/>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0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6" w:lineRule="exact"/>
        <w:rPr>
          <w:sz w:val="20"/>
          <w:szCs w:val="20"/>
          <w:color w:val="auto"/>
        </w:rPr>
      </w:pPr>
    </w:p>
    <w:p>
      <w:pPr>
        <w:ind w:left="1140" w:right="180" w:hanging="1114"/>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81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27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Sandeep Kulkarni</w:t>
            </w:r>
          </w:p>
        </w:tc>
      </w:tr>
      <w:tr>
        <w:trPr>
          <w:trHeight w:val="257"/>
        </w:trPr>
        <w:tc>
          <w:tcPr>
            <w:tcW w:w="3080" w:type="dxa"/>
            <w:vAlign w:val="bottom"/>
          </w:tcPr>
          <w:p>
            <w:pPr>
              <w:spacing w:after="0"/>
              <w:rPr>
                <w:sz w:val="22"/>
                <w:szCs w:val="22"/>
                <w:color w:val="auto"/>
              </w:rPr>
            </w:pPr>
          </w:p>
        </w:tc>
        <w:tc>
          <w:tcPr>
            <w:tcW w:w="2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Kulkarni</w:t>
            </w:r>
          </w:p>
        </w:tc>
      </w:tr>
      <w:tr>
        <w:trPr>
          <w:trHeight w:val="270"/>
        </w:trPr>
        <w:tc>
          <w:tcPr>
            <w:tcW w:w="3080" w:type="dxa"/>
            <w:vAlign w:val="bottom"/>
          </w:tcPr>
          <w:p>
            <w:pPr>
              <w:spacing w:after="0"/>
              <w:rPr>
                <w:sz w:val="23"/>
                <w:szCs w:val="23"/>
                <w:color w:val="auto"/>
              </w:rPr>
            </w:pPr>
          </w:p>
        </w:tc>
        <w:tc>
          <w:tcPr>
            <w:tcW w:w="2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0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27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Marlyn Mathew</w:t>
            </w:r>
          </w:p>
        </w:tc>
      </w:tr>
      <w:tr>
        <w:trPr>
          <w:trHeight w:val="257"/>
        </w:trPr>
        <w:tc>
          <w:tcPr>
            <w:tcW w:w="3080" w:type="dxa"/>
            <w:vAlign w:val="bottom"/>
          </w:tcPr>
          <w:p>
            <w:pPr>
              <w:spacing w:after="0"/>
              <w:rPr>
                <w:sz w:val="22"/>
                <w:szCs w:val="22"/>
                <w:color w:val="auto"/>
              </w:rPr>
            </w:pPr>
          </w:p>
        </w:tc>
        <w:tc>
          <w:tcPr>
            <w:tcW w:w="2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Marlyn Mathew</w:t>
            </w:r>
          </w:p>
        </w:tc>
      </w:tr>
      <w:tr>
        <w:trPr>
          <w:trHeight w:val="270"/>
        </w:trPr>
        <w:tc>
          <w:tcPr>
            <w:tcW w:w="3080" w:type="dxa"/>
            <w:vAlign w:val="bottom"/>
          </w:tcPr>
          <w:p>
            <w:pPr>
              <w:spacing w:after="0"/>
              <w:rPr>
                <w:sz w:val="23"/>
                <w:szCs w:val="23"/>
                <w:color w:val="auto"/>
              </w:rPr>
            </w:pPr>
          </w:p>
        </w:tc>
        <w:tc>
          <w:tcPr>
            <w:tcW w:w="2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 and Accounting</w:t>
            </w:r>
          </w:p>
        </w:tc>
      </w:tr>
      <w:tr>
        <w:trPr>
          <w:trHeight w:val="270"/>
        </w:trPr>
        <w:tc>
          <w:tcPr>
            <w:tcW w:w="30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October [●], 2026 between Zura Bio Limited, an exempted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indemnified party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companies and corporations as directors or in other capacities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are provided with adequate protection through insurance or adequate indemnification against inordinate risks of claims and actions against them arising out of their service to and activities on behalf of the Company;</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companies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companies or business enterprises are being increasingly subjected to expensive and time-consuming litigation relating to, among other things, matters that traditionally would have been brought only against the Company or business enterprise itself. The Second Amended and Restated Memorandum and Articles of Association of the Company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require indemnification of the officers and directors of the Company. The Articles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and to advance expenses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such persons to the fullest extent permitted by applicable law and the Articles so that they will serve or continue to serve the Company free from undue concern that they will not be so indemnified;</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and any resolutions adopted pursuant thereto,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 substitute therefor, nor to diminish or abrogate any rights of Indemnitee thereunder; and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does not regard the protection available under the Articles and insurance as adequate in the present circumstances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willing to serve as an officer or director of the Company without adequate protection, and the Company desires Indemnitee to serve in such capacity. Indemnitee is willing to serve, continue to serve and to take on additional service for or on behalf of the Company on the condition that he be so indemnified.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Indemnitee’s agreement to serve as a director from and after the date hereof, the parties hereto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40" w:name="page41"/>
    <w:bookmarkEnd w:id="40"/>
    <w:p>
      <w:pPr>
        <w:ind w:firstLine="656"/>
        <w:spacing w:after="0" w:line="282" w:lineRule="auto"/>
        <w:tabs>
          <w:tab w:leader="none" w:pos="10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the Articles, as such may be amended from time to time. In furtherance of the foregoing indemnification, and without limiting the generality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0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To the fullest extent permitted by applicable law, and the Articles, Indemnitee shall be entitled to the rights of indemnification provided in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To the fullest extent permitted by applicable law, and the Articles, Indemnitee shall be entitled to the rights of indemnification provided in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if, by reason of his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indemnification against such Expenses shall be made in respect of any claim, issue or matter in such Proceeding as to which Indemnitee shall have been adjudged to be liable to the Company unless and to the extent that a state or federal court in the Borough of Manhattan in the State of New York (the “</w:t>
      </w:r>
      <w:r>
        <w:rPr>
          <w:rFonts w:ascii="Times New Roman" w:cs="Times New Roman" w:eastAsia="Times New Roman" w:hAnsi="Times New Roman"/>
          <w:sz w:val="18"/>
          <w:szCs w:val="18"/>
          <w:b w:val="1"/>
          <w:bCs w:val="1"/>
          <w:color w:val="auto"/>
        </w:rPr>
        <w:t>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shall determine that such indemnification may be made.</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xml:space="preserve">. Notwithstanding any other provision of this Agreement, to the extent that Indemnitee is, by reason of his Corporate Status, a party to and is successful, on the merits or otherwise, in any Proceeding, he shall be indemnified to the maximum extent permitted by the Articles,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Indemnitee against all Expenses actually and reasonably incurred by him or on his behalf in connection with each successfully resolved claim, issue or matter.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to the fullest extent permitted by applicable law and the Articles,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hereof) to be unlawful.</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is available, in respect of any threatened, pending or completed action, suit or proceeding in which the Company is jointly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83" w:lineRule="exact"/>
        <w:rPr>
          <w:sz w:val="20"/>
          <w:szCs w:val="20"/>
          <w:color w:val="auto"/>
        </w:rPr>
      </w:pPr>
    </w:p>
    <w:p>
      <w:pPr>
        <w:jc w:val="both"/>
        <w:ind w:firstLine="1304"/>
        <w:spacing w:after="0" w:line="252" w:lineRule="auto"/>
        <w:tabs>
          <w:tab w:leader="none" w:pos="17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the Articles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5" w:lineRule="exact"/>
        <w:rPr>
          <w:rFonts w:ascii="Times New Roman" w:cs="Times New Roman" w:eastAsia="Times New Roman" w:hAnsi="Times New Roman"/>
          <w:sz w:val="18"/>
          <w:szCs w:val="18"/>
          <w:color w:val="auto"/>
        </w:rPr>
      </w:pPr>
    </w:p>
    <w:p>
      <w:pPr>
        <w:ind w:firstLine="1304"/>
        <w:spacing w:after="0" w:line="282" w:lineRule="auto"/>
        <w:tabs>
          <w:tab w:leader="none" w:pos="17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2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and the Articles,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unsecured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free. This Section 5 shall be subject to Section 6(c) and shall not apply to any claim made by Indemnitee for which indemnity is excluded pursuant to Sections 6(i) and 9 hereof.</w:t>
      </w:r>
    </w:p>
    <w:p>
      <w:pPr>
        <w:spacing w:after="0" w:line="162" w:lineRule="exact"/>
        <w:rPr>
          <w:sz w:val="20"/>
          <w:szCs w:val="20"/>
          <w:color w:val="auto"/>
        </w:rPr>
      </w:pPr>
    </w:p>
    <w:p>
      <w:pPr>
        <w:jc w:val="both"/>
        <w:ind w:firstLine="656"/>
        <w:spacing w:after="0" w:line="266" w:lineRule="auto"/>
        <w:tabs>
          <w:tab w:leader="none" w:pos="97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Articles. Accordingly, the parties agree that the following procedures and presumptions shall apply in the event of any question as to whether Indemnitee is entitled to indemnification under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73"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promptly after receipt by Indemnitee of notice of a Proceeding,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21"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a determination with respect to Indemnitee’s entitlement thereto shall be made in the specific case by one of the following four methods, which shall be at the election of the Board: (i) by a majority vote of the disinterested directors, even though less than a quorum, (ii) by a committee of disinterested directors designated by a majority vote of the disinterested directors, even though less than a quorum, (iii) if there are no disinterested directors or if the disinterested directors so direct, by independent legal counsel in a written opinion to the Board, a copy of which shall be delivered to the Indemnitee, or (iv) if so directed by the Board, by the shareholders of the Company. For purposes hereof, disinterested directors are those members of the Board who are not parties to the action, suit or proceeding in respect of which indemnification is sought by Indemnitee.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29"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action, suit or proceeding of which the Company is so notified as provided in this Agreement, the Company shall, subject to the last two sentences of this paragraph,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subsequently-incurred fees of separate counsel engaged by Indemnitee with respect to the same action, suit or proceeding unless the employment of separate counsel by Indemnitee has been previously authorized in writing by the Company. Notwithstanding the foregoing, if Indemnitee, based on the advice of his or her counsel, shall have reasonably concluded (with written notice being given to the Company setting forth the basis for such conclusion) that, in the conduct of any such defense, there is or is reasonably likely to be a conflict of interest or position between the Company and Indemnitee with respect to a significant issue, then the Company will not be entitled, without the written consent of Indemnitee, to assume such defense. In addition, the Company will not be entitled, without the written consent of Indemnitee, to assume the defense of any claim brought by or in the right of the Company.</w:t>
      </w:r>
    </w:p>
    <w:p>
      <w:pPr>
        <w:spacing w:after="0" w:line="194" w:lineRule="exact"/>
        <w:rPr>
          <w:rFonts w:ascii="Times New Roman" w:cs="Times New Roman" w:eastAsia="Times New Roman" w:hAnsi="Times New Roman"/>
          <w:sz w:val="18"/>
          <w:szCs w:val="18"/>
          <w:color w:val="auto"/>
        </w:rPr>
      </w:pPr>
    </w:p>
    <w:p>
      <w:pPr>
        <w:jc w:val="both"/>
        <w:ind w:firstLine="1304"/>
        <w:spacing w:after="0" w:line="276" w:lineRule="auto"/>
        <w:tabs>
          <w:tab w:leader="none" w:pos="174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determination of entitlement to indemnification is to be made by Independent Counsel pursuant to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hereof, the Independent Counsel shall be selected as provided in this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The Independent Counsel shall be selected by the Board. Indemnitee may, within ten</w:t>
      </w:r>
    </w:p>
    <w:p>
      <w:pPr>
        <w:jc w:val="both"/>
        <w:ind w:firstLine="8"/>
        <w:spacing w:after="0" w:line="252" w:lineRule="auto"/>
        <w:tabs>
          <w:tab w:leader="none" w:pos="3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such written notice of selection shall have been given, deliver to the Company a written objection to such selection;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no Independent Counsel shall have been selected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not objected to, either the Company or Indemnitee may petition an NY Court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and the Company shall pay all reasonable fees and expenses incident to the procedures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regardless of the manner in which such Independent Counsel was selected or appointed.</w:t>
      </w:r>
    </w:p>
    <w:p>
      <w:pPr>
        <w:spacing w:after="0" w:line="189" w:lineRule="exact"/>
        <w:rPr>
          <w:sz w:val="20"/>
          <w:szCs w:val="20"/>
          <w:color w:val="auto"/>
        </w:rPr>
      </w:pPr>
    </w:p>
    <w:p>
      <w:pPr>
        <w:jc w:val="both"/>
        <w:ind w:firstLine="1304"/>
        <w:spacing w:after="0" w:line="255" w:lineRule="auto"/>
        <w:tabs>
          <w:tab w:leader="none" w:pos="1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or entity making such determination shall, to the fullest extent permitted by applicable law and the Articles,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sixty (60) days after receipt by the Company of the request therefor, the requisite determination of entitlement to indemnification, to the fullest extent permitted by applicable law and the Articles,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the Articles;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foregoing provisions of this </w:t>
      </w:r>
      <w:r>
        <w:rPr>
          <w:rFonts w:ascii="Times New Roman" w:cs="Times New Roman" w:eastAsia="Times New Roman" w:hAnsi="Times New Roman"/>
          <w:sz w:val="18"/>
          <w:szCs w:val="18"/>
          <w:u w:val="single" w:color="auto"/>
          <w:color w:val="auto"/>
        </w:rPr>
        <w:t>Section 6(g)</w:t>
      </w:r>
      <w:r>
        <w:rPr>
          <w:rFonts w:ascii="Times New Roman" w:cs="Times New Roman" w:eastAsia="Times New Roman" w:hAnsi="Times New Roman"/>
          <w:sz w:val="18"/>
          <w:szCs w:val="18"/>
          <w:color w:val="auto"/>
        </w:rPr>
        <w:t xml:space="preserve"> shall not apply if the determination of entitlement to indemnification is to be made by the shareholders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and if (i) within fifteen (15) days after receipt by the Company of the request for such determination, the Board or the Disinterested Directors, if appropriate, resolve to submit such determination to the shareholders for their consideration at an annual meeting thereof to be held within seventy-five (75) days after such receipt and such determination is made thereat, or (ii) a special meeting of shareholders is called within fifteen (15) days after such receipt for the purpose of making such determination, such meeting is held for such purpose within sixty (60) days after having been so called and such determination is made thereat.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6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such determination with respect to Indemnitee’s entitlement to indemnification, including providing to such person, persons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upon reasonable advance request any documentation or information which is not privileged or otherwise protected from disclosure and which is reasonably available to Indemnitee and reasonably necessary to such determination. Any Independent Counsel, member of the Board or shareholders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87" w:lineRule="exact"/>
        <w:rPr>
          <w:sz w:val="20"/>
          <w:szCs w:val="20"/>
          <w:color w:val="auto"/>
        </w:rPr>
      </w:pPr>
    </w:p>
    <w:p>
      <w:pPr>
        <w:jc w:val="both"/>
        <w:ind w:firstLine="1304"/>
        <w:spacing w:after="0" w:line="256" w:lineRule="auto"/>
        <w:tabs>
          <w:tab w:leader="none" w:pos="16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5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within ninety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Indemnitee shall be entitled to an adjudication in an appropriate NY Court,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Company shall not oppose Indemnitee’s right to seek any such adjudication.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conducted in all respects as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the Articles.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this Agreement)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and reasonably incurred by him in such judicial adjudication, regardless of whether Indemnitee ultimately is determined to be entitled to such indemnification, advancement of expenses or insurance recovery.</w:t>
      </w:r>
    </w:p>
    <w:p>
      <w:pPr>
        <w:spacing w:after="0" w:line="162" w:lineRule="exact"/>
        <w:rPr>
          <w:sz w:val="20"/>
          <w:szCs w:val="20"/>
          <w:color w:val="auto"/>
        </w:rPr>
      </w:pPr>
    </w:p>
    <w:p>
      <w:pPr>
        <w:jc w:val="both"/>
        <w:ind w:firstLine="1304"/>
        <w:spacing w:after="0" w:line="254" w:lineRule="auto"/>
        <w:tabs>
          <w:tab w:leader="none" w:pos="1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precluded from asserting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the procedures and presumptions of this Agreement are not valid, binding and enforceable and shall stipulate in any such court that the Company is bound by all the provisions of this Agreement. The Company shall indemnify Indemnitee to the fullest extent permitted by applicable law and the Articles against any and all Expenses and, if requested by Indemnitee, shall (within ten (10) days after receipt by the Company of a written request therefore) advance, to the extent not prohibited by the Articles,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under applicable law, the Articles, any agreement, a vote of shareholders, a resolution of directors of the Company,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laws of the Cayman Islands, whether by statute or judicial decision, permits greater indemnification than would be afforded currently under the Articles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company or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Company shall not be liable under this Agreement to make any payment of amounts otherwise indemnifiable hereunder (including, but not limited to, judgments, fines and amounts paid in settlement) if and to the extent that Indemnitee has otherwise actually received such payment under this Agreement or any insurance policy, contract, agreement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payment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162" w:lineRule="exact"/>
        <w:rPr>
          <w:sz w:val="20"/>
          <w:szCs w:val="20"/>
          <w:color w:val="auto"/>
        </w:rPr>
      </w:pPr>
    </w:p>
    <w:p>
      <w:pPr>
        <w:jc w:val="both"/>
        <w:ind w:firstLine="1304"/>
        <w:spacing w:after="0" w:line="261" w:lineRule="auto"/>
        <w:tabs>
          <w:tab w:leader="none" w:pos="17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or advance Expenses hereunder to Indemnitee who is or was serving at the request of the Company as a director, officer, employee or agent of any other company or corporation, partnership, joint venture, trust, employee benefit plan or other enterprise shall be reduced by any amount Indemnitee has actually received as indemnification or advancement of expenses from such other company or corporation, partnership, joint venture, trust, employee benefit plan or other enterprise.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payment has actually been made to or on behalf of Indemnitee under any insurance policy or other indemnity provision, except with respect to any excess beyond the amount paid under any insurance policy or other indemnity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affect the rights of Indemnitee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Proceeding made against Indemnitee for an accounting of profits made from the purchase and sale (or sale and purchase) by Indemnitee of securities of the Company within the meaning of Section 16(b)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similar provisions of state statutory law or common law;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Sarbanes-Oxley Act); or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Indemnitee on account of conduct by Indemnitee where such conduct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have been knowingly fraudulent or constitute willful misconduct; or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Indemnitee in any circumstance where such indemnification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having been made, to be prohibited by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the Articles;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47" w:name="page48"/>
    <w:bookmarkEnd w:id="47"/>
    <w:p>
      <w:pPr>
        <w:jc w:val="both"/>
        <w:ind w:firstLine="1304"/>
        <w:spacing w:after="0" w:line="255" w:lineRule="auto"/>
        <w:tabs>
          <w:tab w:leader="none" w:pos="1783"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indemnify Indemnitee for any Expenses incurred by Indemnitee with respect to any Proceeding instituted by Indemnitee to enforce or interpret this Agreement, unless Indemnitee is successful in such Proceeding in establishing Indemnitee’s right, in whole or in part, to indemnification or advancement of Expenses hereunder (in which case such indemnification or advancement shall be to the fullest extent permitted by applicable law), or unless and to the extent that the court in such Proceeding shall determine that, despite Indemnitee’s failure to establish their right to indemnification, Indemnitee is entitled to indemnification for such Expenses; provided, however, that nothing in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is intended to limit the Company’s obligations with respect to the advancement of Expenses to Indemnitee in connection with any Proceeding instituted by Indemnitee to enforce or interpret this Agreement,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8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if there is a Change in Control of the Company, then with respect to all matters thereafter arising concerning the rights of Indemnitee to indemnification and advancement of Expenses under this Agreement, any other agreement or the Company’s certificate of incorporation or by-laws now or hereafter in effect, the Company shall seek legal advice only from Independent Counsel selected by Indemnitee and approved by the Company (which approval shall not be unreasonably withheld). In addition, upon written request by Indemnitee for indemnification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a determination, if required by applicable law, with respect to Indemnitee's entitlement thereto shall be made by such Independent Counsel in a written opinion to the Board, a copy of which shall be delivered to Indemnitee. The Company agrees to pay the reasonable fees of the Independent Counsel referred to above and to indemnify fully such counsel against any and all expenses (including attorney’s fees), claims, liabilities and damages arising out of or relating to this Agreement or its engagement pursuant hereto.</w:t>
      </w:r>
    </w:p>
    <w:p>
      <w:pPr>
        <w:spacing w:after="0" w:line="19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following definitions shall apply:</w:t>
      </w:r>
    </w:p>
    <w:p>
      <w:pPr>
        <w:spacing w:after="0" w:line="22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305"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shall be deemed to occur upon the earliest to occur after the date of this Agreement of any of the following: (A) any person (as defined below) is or becomes the beneficial owner (as defined below), directly or indirectly, of securities of the Company representing twenty percent (20%) or more of the combined voting power of the Company's then outstanding securities, (B)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w:t>
      </w:r>
      <w:r>
        <w:rPr>
          <w:rFonts w:ascii="Times New Roman" w:cs="Times New Roman" w:eastAsia="Times New Roman" w:hAnsi="Times New Roman"/>
          <w:sz w:val="18"/>
          <w:szCs w:val="18"/>
          <w:u w:val="single" w:color="auto"/>
          <w:color w:val="auto"/>
        </w:rPr>
        <w:t>Sections 10(b)(i)(A)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10(b)(i)(C)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10(b)(i)(D)</w:t>
      </w:r>
      <w:r>
        <w:rPr>
          <w:rFonts w:ascii="Times New Roman" w:cs="Times New Roman" w:eastAsia="Times New Roman" w:hAnsi="Times New Roman"/>
          <w:sz w:val="18"/>
          <w:szCs w:val="18"/>
          <w:color w:val="auto"/>
        </w:rPr>
        <w:t xml:space="preserve"> or a director whose initial nomination for, or assumption of office as, a member of the Board occurs as a result of an actual or threatened solicitation of proxies or consents for the election or removal of one or more directors by any person or group other than a solicitation for the election of one or more directors by or on behalf of the Board)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jc w:val="both"/>
        <w:ind w:firstLine="8"/>
        <w:spacing w:after="0" w:line="251" w:lineRule="auto"/>
        <w:tabs>
          <w:tab w:leader="none" w:pos="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at least 50% of the combined voting power of the voting securities of the surviving entity outstanding immediately after such merger or consolidation and with the power to elect at least a majority of the board of directors or other governing body of such surviving entity, and (D) the approval by the stockholders of the Company of a complete liquidation of the Company or an agreement for the sale or disposition by the Company of all or substantially all of the Company's assets, and (E)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10(b)(i)</w:t>
      </w:r>
      <w:r>
        <w:rPr>
          <w:rFonts w:ascii="Times New Roman" w:cs="Times New Roman" w:eastAsia="Times New Roman" w:hAnsi="Times New Roman"/>
          <w:sz w:val="18"/>
          <w:szCs w:val="18"/>
          <w:color w:val="auto"/>
        </w:rPr>
        <w:t>, the following terms shall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48" w:name="page49"/>
    <w:bookmarkEnd w:id="48"/>
    <w:p>
      <w:pPr>
        <w:ind w:left="3640" w:hanging="392"/>
        <w:spacing w:after="0"/>
        <w:tabs>
          <w:tab w:leader="none" w:pos="3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have the meaning as set forth in Sections 13(d) and 14(d) of the Exchange Act; provided,</w:t>
      </w:r>
    </w:p>
    <w:p>
      <w:pPr>
        <w:spacing w:after="0" w:line="27" w:lineRule="exact"/>
        <w:rPr>
          <w:sz w:val="20"/>
          <w:szCs w:val="20"/>
          <w:color w:val="auto"/>
        </w:rPr>
      </w:pPr>
    </w:p>
    <w:p>
      <w:pPr>
        <w:jc w:val="both"/>
        <w:ind w:left="3660"/>
        <w:spacing w:after="0" w:line="253" w:lineRule="auto"/>
        <w:rPr>
          <w:sz w:val="20"/>
          <w:szCs w:val="20"/>
          <w:color w:val="auto"/>
        </w:rPr>
      </w:pPr>
      <w:r>
        <w:rPr>
          <w:rFonts w:ascii="Times New Roman" w:cs="Times New Roman" w:eastAsia="Times New Roman" w:hAnsi="Times New Roman"/>
          <w:sz w:val="18"/>
          <w:szCs w:val="18"/>
          <w:color w:val="auto"/>
        </w:rPr>
        <w:t>however, that person shall exclude (a) the Company, (b) any trustee or other fiduciary holding securities under an employee benefit plan of the Company, and (c) any corporation owned, directly or indirectly, by the stockholders of the Company in substantially the same proportions as their ownership of stock of the Company.</w:t>
      </w:r>
    </w:p>
    <w:p>
      <w:pPr>
        <w:spacing w:after="0" w:line="189" w:lineRule="exact"/>
        <w:rPr>
          <w:sz w:val="20"/>
          <w:szCs w:val="20"/>
          <w:color w:val="auto"/>
        </w:rPr>
      </w:pPr>
    </w:p>
    <w:p>
      <w:pPr>
        <w:jc w:val="both"/>
        <w:ind w:left="3660" w:hanging="412"/>
        <w:spacing w:after="0" w:line="261" w:lineRule="auto"/>
        <w:tabs>
          <w:tab w:leader="none" w:pos="37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180" w:lineRule="exact"/>
        <w:rPr>
          <w:sz w:val="20"/>
          <w:szCs w:val="20"/>
          <w:color w:val="auto"/>
        </w:rPr>
      </w:pPr>
    </w:p>
    <w:p>
      <w:pPr>
        <w:ind w:left="1060" w:hanging="404"/>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the Indemnitee may have insurance coverage from sources other than Company; therefore, given that certain Jointly Indemnifiable Claims may arise due to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or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as though each such Indemnitee-Related Entity were a party to this Agreement.</w:t>
      </w:r>
    </w:p>
    <w:p>
      <w:pPr>
        <w:spacing w:after="0" w:line="19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39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(in each case other than the Company or any other corporation, limited liability company, partnership, joint venture, trust, employee benefit plan or other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 (other than as a result of obligations under an insurance policy).</w:t>
      </w:r>
    </w:p>
    <w:p>
      <w:pPr>
        <w:spacing w:after="0" w:line="182" w:lineRule="exact"/>
        <w:rPr>
          <w:rFonts w:ascii="Times New Roman" w:cs="Times New Roman" w:eastAsia="Times New Roman" w:hAnsi="Times New Roman"/>
          <w:sz w:val="18"/>
          <w:szCs w:val="18"/>
          <w:color w:val="auto"/>
        </w:rPr>
      </w:pPr>
    </w:p>
    <w:p>
      <w:pPr>
        <w:jc w:val="both"/>
        <w:ind w:firstLine="1952"/>
        <w:spacing w:after="0" w:line="259" w:lineRule="auto"/>
        <w:tabs>
          <w:tab w:leader="none" w:pos="23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Jointly Indemnifiable Claims</w:t>
      </w:r>
      <w:r>
        <w:rPr>
          <w:rFonts w:ascii="Times New Roman" w:cs="Times New Roman" w:eastAsia="Times New Roman" w:hAnsi="Times New Roman"/>
          <w:sz w:val="18"/>
          <w:szCs w:val="18"/>
          <w:color w:val="auto"/>
        </w:rPr>
        <w:t>” shall be broadly construed and shall include, without limitation, any action, suit or proceeding for which the Indemnitee shall be entitled to indemnification or advancement of Expenses from both the Indemnitee-Related Entities and the Company pursuant to applicable law, any agreement or the Articles of the Company or certificate of incorporation, bylaws, partnership agreement, operating agreement, certificate of formation, certificate of limited partnership or comparable organizational documents of the Indemnitee-Related Entities,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49" w:name="page50"/>
    <w:bookmarkEnd w:id="49"/>
    <w:p>
      <w:pPr>
        <w:jc w:val="both"/>
        <w:ind w:firstLine="656"/>
        <w:spacing w:after="0" w:line="254"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company or corporation, partnership, joint venture, trust or other enterprise) and shall continue thereafter so long as Indemnitee shall be subject to any Proceeding (or any proceeding commenced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7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6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1" w:lineRule="exact"/>
        <w:rPr>
          <w:rFonts w:ascii="Times New Roman" w:cs="Times New Roman" w:eastAsia="Times New Roman" w:hAnsi="Times New Roman"/>
          <w:sz w:val="18"/>
          <w:szCs w:val="18"/>
          <w:color w:val="auto"/>
        </w:rPr>
      </w:pPr>
    </w:p>
    <w:p>
      <w:pPr>
        <w:jc w:val="both"/>
        <w:ind w:firstLine="1304"/>
        <w:spacing w:after="0" w:line="268" w:lineRule="auto"/>
        <w:tabs>
          <w:tab w:leader="none" w:pos="17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employee, agent, trustee, manager, partner, fiduciary or similar capacity of the Company or of any other company or corporation, partnership, joint venture, trust, employee benefit plan or other enterprise that such person is or was serving at the express written request of the Company.</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72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73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company or corporation, partnership, joint venture, trust, employee benefit plan or other enterprise that Indemnitee is or was serving at the express written request of the Company as a director, officer, employee, agent or fiduciary.</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2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50" w:name="page51"/>
    <w:bookmarkEnd w:id="50"/>
    <w:p>
      <w:pPr>
        <w:ind w:right="20"/>
        <w:spacing w:after="0" w:line="282" w:lineRule="auto"/>
        <w:rPr>
          <w:sz w:val="20"/>
          <w:szCs w:val="20"/>
          <w:color w:val="auto"/>
        </w:rPr>
      </w:pPr>
      <w:r>
        <w:rPr>
          <w:rFonts w:ascii="Times New Roman" w:cs="Times New Roman" w:eastAsia="Times New Roman" w:hAnsi="Times New Roman"/>
          <w:sz w:val="18"/>
          <w:szCs w:val="18"/>
          <w:color w:val="auto"/>
        </w:rPr>
        <w:t>other costs relating to any cost bond, supersede as bond, or other appeal bond or its equivalent. Expenses, however, shall not include amounts paid in settlement by Indemnitee or the amount of judgments or fines against Indemnitee.</w:t>
      </w:r>
    </w:p>
    <w:p>
      <w:pPr>
        <w:spacing w:after="0" w:line="158" w:lineRule="exact"/>
        <w:rPr>
          <w:sz w:val="20"/>
          <w:szCs w:val="20"/>
          <w:color w:val="auto"/>
        </w:rPr>
      </w:pPr>
    </w:p>
    <w:p>
      <w:pPr>
        <w:jc w:val="both"/>
        <w:ind w:firstLine="1304"/>
        <w:spacing w:after="0" w:line="255" w:lineRule="auto"/>
        <w:tabs>
          <w:tab w:leader="none" w:pos="167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company or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indemnity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regulatory or investigative, in which Indemnitee was, is or will be involved as a party or otherwise, by reason of his or her Corporate Status, by reason of any action taken by him or of any inaction on his part while acting in his or her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enforce his rights under this Agreement.</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Construction as Employment Agreement</w:t>
      </w:r>
      <w:r>
        <w:rPr>
          <w:rFonts w:ascii="Times New Roman" w:cs="Times New Roman" w:eastAsia="Times New Roman" w:hAnsi="Times New Roman"/>
          <w:sz w:val="18"/>
          <w:szCs w:val="18"/>
          <w:color w:val="auto"/>
        </w:rPr>
        <w:t>. Nothing contained herein shall be construed as giving Indemnitee any right to be retained as a director of the Company or in the employ of the Company. For the avoidance of doubt, the indemnification and advancement of expenses provided under this Agreement shall continue as to the Indemnitee even though Indemnitee may have ceased to be a director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 and the Articles. In the event any provision hereof conflicts with any provision of applicable law or the Articles, such provision shall be deemed modified, consistent with the aforementioned intent, to the extent necessary to resolve such conflict.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79"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t>return receipt requested, postage prepaid, or (d) one (1) day after deposit with a nationally recognized overnight courier, specifying next day delivery, with written verification of receipt. All communications shall be sent:</w:t>
      </w:r>
    </w:p>
    <w:p>
      <w:pPr>
        <w:spacing w:after="0" w:line="162" w:lineRule="exact"/>
        <w:rPr>
          <w:sz w:val="20"/>
          <w:szCs w:val="20"/>
          <w:color w:val="auto"/>
        </w:rPr>
      </w:pPr>
    </w:p>
    <w:p>
      <w:pPr>
        <w:ind w:left="1680" w:hanging="376"/>
        <w:spacing w:after="0"/>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Indemnitee at the address set forth below Indemnitee signature hereto.</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Zura Bio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Maples Corporate Services Limited,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Grand Cayman, KY1-1104, Cayman Islands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Sandeep Kulkarni, Chief Executive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Zura Bio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1489 W Warm Springs Road, Suite 110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Henderson, NV 89014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Kim Davis, COO, CLO and Corporate Secretary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Sarah Sellers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225" w:lineRule="exact"/>
        <w:rPr>
          <w:sz w:val="20"/>
          <w:szCs w:val="20"/>
          <w:color w:val="auto"/>
        </w:rPr>
      </w:pPr>
    </w:p>
    <w:p>
      <w:pPr>
        <w:jc w:val="both"/>
        <w:ind w:firstLine="656"/>
        <w:spacing w:after="0" w:line="261" w:lineRule="auto"/>
        <w:tabs>
          <w:tab w:leader="none" w:pos="10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Agreement.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0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New York, without regard to its conflict of laws rules. The Company and Indemnitee hereby irrevocably and unconditionally (a) agree that any action or proceeding arising out of or in connection with this Agreement shall be brought only in the appropriate NY Court, and not in any other state or federal court in the United States of America or any court in any other country, (b) consent to submit to the exclusive jurisdiction of the NY Court for purposes of any action or proceeding arising out of or in connection with this Agreement, (c) waive any objection to the laying of venue of any such action or proceeding in the NY Court, and (d) waive, and agree not to plead or to make, any claim that any such action or proceeding brought in the NY Court has been brought in an improper or inconvenient forum.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to Follow</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type w:val="continuous"/>
        </w:sectPr>
      </w:pPr>
    </w:p>
    <w:bookmarkStart w:id="52" w:name="page53"/>
    <w:bookmarkEnd w:id="52"/>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Indemnity Agreement on and as of the day and year first above written.</w:t>
      </w:r>
    </w:p>
    <w:p>
      <w:pPr>
        <w:spacing w:after="0" w:line="2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97" w:lineRule="exact"/>
        <w:rPr>
          <w:sz w:val="20"/>
          <w:szCs w:val="20"/>
          <w:color w:val="auto"/>
        </w:rPr>
      </w:pPr>
    </w:p>
    <w:tbl>
      <w:tblPr>
        <w:tblLayout w:type="fixed"/>
        <w:tblInd w:w="438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spacing w:after="0"/>
              <w:rPr>
                <w:sz w:val="20"/>
                <w:szCs w:val="20"/>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 Davis</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Chief Legal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[Signature Page to Zura Bio Limited Indemnity Agreement]</w:t>
      </w:r>
    </w:p>
    <w:p>
      <w:pPr>
        <w:sectPr>
          <w:pgSz w:w="11900" w:h="16838" w:orient="portrait"/>
          <w:cols w:equalWidth="0" w:num="1">
            <w:col w:w="10580"/>
          </w:cols>
          <w:pgMar w:left="980" w:top="1413" w:right="339" w:bottom="1440" w:gutter="0" w:footer="0" w:header="0"/>
        </w:sectPr>
      </w:pPr>
    </w:p>
    <w:bookmarkStart w:id="53" w:name="page54"/>
    <w:bookmarkEnd w:id="53"/>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362585</wp:posOffset>
            </wp:positionV>
            <wp:extent cx="3985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357505</wp:posOffset>
            </wp:positionV>
            <wp:extent cx="27774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2777490" cy="8890"/>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186055</wp:posOffset>
            </wp:positionV>
            <wp:extent cx="27774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2777490" cy="8890"/>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14605</wp:posOffset>
            </wp:positionV>
            <wp:extent cx="27774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Zura Bio Limited Indemnity Agreement]</w:t>
      </w:r>
    </w:p>
    <w:p>
      <w:pPr>
        <w:sectPr>
          <w:pgSz w:w="11900" w:h="16838" w:orient="portrait"/>
          <w:cols w:equalWidth="0" w:num="1">
            <w:col w:w="9019"/>
          </w:cols>
          <w:pgMar w:left="1440" w:top="1440"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Sandeep Kulkarni, certify that:</w:t>
      </w:r>
    </w:p>
    <w:p>
      <w:pPr>
        <w:spacing w:after="0" w:line="22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Zura Bio Limited;</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26035</wp:posOffset>
            </wp:positionV>
            <wp:extent cx="1268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26035</wp:posOffset>
            </wp:positionV>
            <wp:extent cx="3874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Sandeep Kulkarni</w:t>
      </w:r>
    </w:p>
    <w:p>
      <w:pPr>
        <w:spacing w:after="0" w:line="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Marlyn Mathew, certify that:</w:t>
      </w:r>
    </w:p>
    <w:p>
      <w:pPr>
        <w:spacing w:after="0" w:line="22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Zura Bio Limited;</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26035</wp:posOffset>
            </wp:positionV>
            <wp:extent cx="1268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Marlyn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26035</wp:posOffset>
            </wp:positionV>
            <wp:extent cx="38830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Marlyn Mathew</w:t>
      </w:r>
    </w:p>
    <w:p>
      <w:pPr>
        <w:spacing w:after="0" w:line="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Vice President, Accounting and Finance</w:t>
      </w:r>
    </w:p>
    <w:p>
      <w:pPr>
        <w:spacing w:after="0" w:line="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92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September 30, 2026, as filed with the Securities and Exchange Commission (the “Report”), I, Sandeep Kulkarni, Chief Executive Officer of the Company, certify, pursuant to 18 U.S.C. §1350, as adopted pursuant to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20" w:right="140" w:firstLine="312"/>
        <w:spacing w:after="0" w:line="547" w:lineRule="auto"/>
        <w:tabs>
          <w:tab w:leader="none" w:pos="6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-149860</wp:posOffset>
            </wp:positionV>
            <wp:extent cx="1242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8"/>
          <w:szCs w:val="18"/>
          <w:color w:val="auto"/>
        </w:rPr>
        <w:t>/s/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Sandeep Kulkarni</w:t>
      </w:r>
    </w:p>
    <w:p>
      <w:pPr>
        <w:spacing w:after="0" w:line="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92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September 30, 2026, as filed with the Securities and Exchange Commission (the “Report”), I, Marlyn Mathew, Vice President, Accounting and Finance, of the Company, certify, pursuant to 18 U.S.C. §1350, as adopted pursuant to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20" w:right="140" w:firstLine="312"/>
        <w:spacing w:after="0" w:line="547" w:lineRule="auto"/>
        <w:tabs>
          <w:tab w:leader="none" w:pos="6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-149860</wp:posOffset>
            </wp:positionV>
            <wp:extent cx="1242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/s/ Marlyn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26035</wp:posOffset>
            </wp:positionV>
            <wp:extent cx="3985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Marlyn Mathew</w:t>
      </w:r>
    </w:p>
    <w:p>
      <w:pPr>
        <w:spacing w:after="0" w:line="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Vice President, Accounting and Finance</w:t>
      </w:r>
    </w:p>
    <w:p>
      <w:pPr>
        <w:spacing w:after="0" w:line="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04"/>
    </w:lvl>
  </w:abstractNum>
  <w:abstractNum w:abstractNumId="13">
    <w:nsid w:val="54E49EB4"/>
    <w:multiLevelType w:val="hybridMultilevel"/>
    <w:lvl w:ilvl="0">
      <w:lvlJc w:val="left"/>
      <w:lvlText w:val="%1."/>
      <w:numFmt w:val="decimal"/>
      <w:start w:val="1"/>
    </w:lvl>
    <w:lvl w:ilvl="1">
      <w:lvlJc w:val="left"/>
      <w:lvlText w:val="(%2)"/>
      <w:numFmt w:val="lowerLetter"/>
      <w:start w:val="1"/>
    </w:lvl>
  </w:abstractNum>
  <w:abstractNum w:abstractNumId="14">
    <w:nsid w:val="71F32454"/>
    <w:multiLevelType w:val="hybridMultilevel"/>
    <w:lvl w:ilvl="0">
      <w:lvlJc w:val="left"/>
      <w:lvlText w:val="%1"/>
      <w:numFmt w:val="decimal"/>
      <w:start w:val="1"/>
    </w:lvl>
    <w:lvl w:ilvl="1">
      <w:lvlJc w:val="left"/>
      <w:lvlText w:val="(%2)"/>
      <w:numFmt w:val="lowerLetter"/>
      <w:start w:val="2"/>
    </w:lvl>
  </w:abstractNum>
  <w:abstractNum w:abstractNumId="15">
    <w:nsid w:val="2CA88611"/>
    <w:multiLevelType w:val="hybridMultilevel"/>
    <w:lvl w:ilvl="0">
      <w:lvlJc w:val="left"/>
      <w:lvlText w:val="%1."/>
      <w:numFmt w:val="decimal"/>
      <w:start w:val="4"/>
    </w:lvl>
    <w:lvl w:ilvl="1">
      <w:lvlJc w:val="left"/>
      <w:lvlText w:val="%2"/>
      <w:numFmt w:val="lowerLetter"/>
      <w:start w:val="1"/>
    </w:lvl>
  </w:abstractNum>
  <w:abstractNum w:abstractNumId="16">
    <w:nsid w:val="836C40E"/>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7">
    <w:nsid w:val="2901D82"/>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8">
    <w:nsid w:val="3A95F874"/>
    <w:multiLevelType w:val="hybridMultilevel"/>
    <w:lvl w:ilvl="0">
      <w:lvlJc w:val="left"/>
      <w:lvlText w:val="(%1)"/>
      <w:numFmt w:val="lowerLetter"/>
      <w:start w:val="5"/>
    </w:lvl>
  </w:abstractNum>
  <w:abstractNum w:abstractNumId="19">
    <w:nsid w:val="8138641"/>
    <w:multiLevelType w:val="hybridMultilevel"/>
    <w:lvl w:ilvl="0">
      <w:lvlJc w:val="left"/>
      <w:lvlText w:val="%1"/>
      <w:numFmt w:val="decimal"/>
      <w:start w:val="1"/>
    </w:lvl>
    <w:lvl w:ilvl="1">
      <w:lvlJc w:val="left"/>
      <w:lvlText w:val="(%2)"/>
      <w:numFmt w:val="lowerLetter"/>
      <w:start w:val="9"/>
    </w:lvl>
  </w:abstractNum>
  <w:abstractNum w:abstractNumId="20">
    <w:nsid w:val="1E7FF521"/>
    <w:multiLevelType w:val="hybridMultilevel"/>
    <w:lvl w:ilvl="0">
      <w:lvlJc w:val="left"/>
      <w:lvlText w:val="%1."/>
      <w:numFmt w:val="decimal"/>
      <w:start w:val="7"/>
    </w:lvl>
    <w:lvl w:ilvl="1">
      <w:lvlJc w:val="left"/>
      <w:lvlText w:val="(%2)"/>
      <w:numFmt w:val="lowerLetter"/>
      <w:start w:val="1"/>
    </w:lvl>
  </w:abstractNum>
  <w:abstractNum w:abstractNumId="21">
    <w:nsid w:val="7C3DBD3D"/>
    <w:multiLevelType w:val="hybridMultilevel"/>
    <w:lvl w:ilvl="0">
      <w:lvlJc w:val="left"/>
      <w:lvlText w:val="%1"/>
      <w:numFmt w:val="decimal"/>
      <w:start w:val="1"/>
    </w:lvl>
    <w:lvl w:ilvl="1">
      <w:lvlJc w:val="left"/>
      <w:lvlText w:val="(%2)"/>
      <w:numFmt w:val="lowerLetter"/>
      <w:start w:val="5"/>
    </w:lvl>
  </w:abstractNum>
  <w:abstractNum w:abstractNumId="22">
    <w:nsid w:val="737B8DDC"/>
    <w:multiLevelType w:val="hybridMultilevel"/>
    <w:lvl w:ilvl="0">
      <w:lvlJc w:val="left"/>
      <w:lvlText w:val="%1."/>
      <w:numFmt w:val="decimal"/>
      <w:start w:val="8"/>
    </w:lvl>
    <w:lvl w:ilvl="1">
      <w:lvlJc w:val="left"/>
      <w:lvlText w:val="(%2)"/>
      <w:numFmt w:val="lowerLetter"/>
      <w:start w:val="1"/>
    </w:lvl>
  </w:abstractNum>
  <w:abstractNum w:abstractNumId="23">
    <w:nsid w:val="6CEAF087"/>
    <w:multiLevelType w:val="hybridMultilevel"/>
    <w:lvl w:ilvl="0">
      <w:lvlJc w:val="left"/>
      <w:lvlText w:val="%1"/>
      <w:numFmt w:val="decimal"/>
      <w:start w:val="1"/>
    </w:lvl>
    <w:lvl w:ilvl="1">
      <w:lvlJc w:val="left"/>
      <w:lvlText w:val="(%2)"/>
      <w:numFmt w:val="lowerLetter"/>
      <w:start w:val="5"/>
    </w:lvl>
  </w:abstractNum>
  <w:abstractNum w:abstractNumId="24">
    <w:nsid w:val="22221A70"/>
    <w:multiLevelType w:val="hybridMultilevel"/>
    <w:lvl w:ilvl="0">
      <w:lvlJc w:val="left"/>
      <w:lvlText w:val="%1."/>
      <w:numFmt w:val="decimal"/>
      <w:start w:val="9"/>
    </w:lvl>
    <w:lvl w:ilvl="1">
      <w:lvlJc w:val="left"/>
      <w:lvlText w:val="(%2)"/>
      <w:numFmt w:val="lowerLetter"/>
      <w:start w:val="1"/>
    </w:lvl>
  </w:abstractNum>
  <w:abstractNum w:abstractNumId="25">
    <w:nsid w:val="4516DD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8"/>
    </w:lvl>
    <w:lvl w:ilvl="3">
      <w:lvlJc w:val="left"/>
      <w:lvlText w:val="%4"/>
      <w:numFmt w:val="lowerLetter"/>
      <w:start w:val="1"/>
    </w:lvl>
  </w:abstractNum>
  <w:abstractNum w:abstractNumId="26">
    <w:nsid w:val="3006C83E"/>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lvl w:ilvl="3">
      <w:lvlJc w:val="left"/>
      <w:lvlText w:val="(%4)"/>
      <w:numFmt w:val="lowerLetter"/>
      <w:start w:val="9"/>
    </w:lvl>
  </w:abstractNum>
  <w:abstractNum w:abstractNumId="27">
    <w:nsid w:val="614FD4A1"/>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8">
    <w:nsid w:val="419AC241"/>
    <w:multiLevelType w:val="hybridMultilevel"/>
    <w:lvl w:ilvl="0">
      <w:lvlJc w:val="left"/>
      <w:lvlText w:val="(%1)"/>
      <w:numFmt w:val="upperLetter"/>
      <w:start w:val="9"/>
    </w:lvl>
  </w:abstractNum>
  <w:abstractNum w:abstractNumId="29">
    <w:nsid w:val="5577F8E1"/>
    <w:multiLevelType w:val="hybridMultilevel"/>
    <w:lvl w:ilvl="0">
      <w:lvlJc w:val="left"/>
      <w:lvlText w:val="(%1)"/>
      <w:numFmt w:val="upperLetter"/>
      <w:start w:val="35"/>
    </w:lvl>
  </w:abstractNum>
  <w:abstractNum w:abstractNumId="30">
    <w:nsid w:val="440BADF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1">
    <w:nsid w:val="5072367"/>
    <w:multiLevelType w:val="hybridMultilevel"/>
    <w:lvl w:ilvl="0">
      <w:lvlJc w:val="left"/>
      <w:lvlText w:val="%1."/>
      <w:numFmt w:val="decimal"/>
      <w:start w:val="12"/>
    </w:lvl>
    <w:lvl w:ilvl="1">
      <w:lvlJc w:val="left"/>
      <w:lvlText w:val="(%2)"/>
      <w:numFmt w:val="lowerLetter"/>
      <w:start w:val="1"/>
    </w:lvl>
  </w:abstractNum>
  <w:abstractNum w:abstractNumId="32">
    <w:nsid w:val="3804823E"/>
    <w:multiLevelType w:val="hybridMultilevel"/>
    <w:lvl w:ilvl="0">
      <w:lvlJc w:val="left"/>
      <w:lvlText w:val="%1"/>
      <w:numFmt w:val="decimal"/>
      <w:start w:val="1"/>
    </w:lvl>
    <w:lvl w:ilvl="1">
      <w:lvlJc w:val="left"/>
      <w:lvlText w:val="(%2)"/>
      <w:numFmt w:val="lowerLetter"/>
      <w:start w:val="5"/>
    </w:lvl>
  </w:abstractNum>
  <w:abstractNum w:abstractNumId="33">
    <w:nsid w:val="77465F01"/>
    <w:multiLevelType w:val="hybridMultilevel"/>
    <w:lvl w:ilvl="0">
      <w:lvlJc w:val="left"/>
      <w:lvlText w:val="%1."/>
      <w:numFmt w:val="decimal"/>
      <w:start w:val="16"/>
    </w:lvl>
    <w:lvl w:ilvl="1">
      <w:lvlJc w:val="left"/>
      <w:lvlText w:val="%2"/>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2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51" Type="http://schemas.openxmlformats.org/officeDocument/2006/relationships/hyperlink" Target="https://www.sec.gov/Archives/edgar/data/1855644/000110465923036697/tm2310353d1_ex3-1.htm" TargetMode="External"/><Relationship Id="rId52" Type="http://schemas.openxmlformats.org/officeDocument/2006/relationships/hyperlink" Target="https://www.sec.gov/Archives/edgar/data/1855644/000110465922093035/jatt-20220630xex4d6.htm" TargetMode="External"/><Relationship Id="rId53" Type="http://schemas.openxmlformats.org/officeDocument/2006/relationships/hyperlink" Target="https://www.sec.gov/Archives/edgar/data/1855644/000110465923055196/tm2314291d1_ex4-1.htm" TargetMode="External"/><Relationship Id="rId54" Type="http://schemas.openxmlformats.org/officeDocument/2006/relationships/hyperlink" Target="https://www.sec.gov/Archives/edgar/data/1855644/000110465924050169/tm2412407d1_ex4-1.htm" TargetMode="External"/><Relationship Id="rId55" Type="http://schemas.openxmlformats.org/officeDocument/2006/relationships/hyperlink" Target="https://www.sec.gov/Archives/edgar/data/1855644/000110465924091602/tm2422174d1_ex4-1.htm" TargetMode="External"/><Relationship Id="rId56" Type="http://schemas.openxmlformats.org/officeDocument/2006/relationships/hyperlink" Target="https://www.sec.gov/Archives/edgar/data/1855644/000110465925036057/tm2512482d1_ex4-1.htm" TargetMode="External"/><Relationship Id="rId57" Type="http://schemas.openxmlformats.org/officeDocument/2006/relationships/hyperlink" Target="https://www.sec.gov/Archives/edgar/data/1855644/000110465926019827/tm267297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2026-10-27T07:14:44Z</dcterms:created>
  <dcterms:modified xsi:type="dcterms:W3CDTF">2026-10-27T07:14:44Z</dcterms:modified>
</cp:coreProperties>
</file>