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505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50557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Mathew Marlyn Teresa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4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Zura Bio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ZURA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40" w:type="dxa"/>
            <w:vAlign w:val="bottom"/>
          </w:tcPr>
          <w:p>
            <w:pPr>
              <w:ind w:left="280"/>
              <w:spacing w:after="0"/>
              <w:rPr>
                <w:sz w:val="20"/>
                <w:szCs w:val="20"/>
                <w:color w:val="auto"/>
              </w:rPr>
            </w:pPr>
            <w:r>
              <w:rPr>
                <w:rFonts w:ascii="Arial" w:cs="Arial" w:eastAsia="Arial" w:hAnsi="Arial"/>
                <w:sz w:val="15"/>
                <w:szCs w:val="15"/>
                <w:color w:val="auto"/>
              </w:rPr>
              <w:t>(First)</w:t>
            </w:r>
          </w:p>
        </w:tc>
        <w:tc>
          <w:tcPr>
            <w:tcW w:w="118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ZURA BIO LTD</w:t>
            </w:r>
          </w:p>
        </w:tc>
        <w:tc>
          <w:tcPr>
            <w:tcW w:w="118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1489 W. WARM SPRINGS RD. #110</w:t>
            </w:r>
          </w:p>
        </w:tc>
      </w:tr>
      <w:tr>
        <w:trPr>
          <w:trHeight w:val="177"/>
        </w:trPr>
        <w:tc>
          <w:tcPr>
            <w:tcW w:w="7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5"/>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HENDERSON NV</w:t>
            </w:r>
          </w:p>
        </w:tc>
        <w:tc>
          <w:tcPr>
            <w:tcW w:w="118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89014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63"/>
        <w:spacing w:after="0"/>
        <w:rPr>
          <w:sz w:val="20"/>
          <w:szCs w:val="20"/>
          <w:color w:val="auto"/>
        </w:rPr>
      </w:pPr>
      <w:r>
        <w:rPr>
          <w:rFonts w:ascii="Times New Roman" w:cs="Times New Roman" w:eastAsia="Times New Roman" w:hAnsi="Times New Roman"/>
          <w:sz w:val="20"/>
          <w:szCs w:val="20"/>
          <w:color w:val="0000FF"/>
        </w:rPr>
        <w:t>VP, Principal Acctg.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ind w:left="520"/>
              <w:spacing w:after="0"/>
              <w:rPr>
                <w:sz w:val="20"/>
                <w:szCs w:val="20"/>
                <w:color w:val="auto"/>
              </w:rPr>
            </w:pPr>
            <w:r>
              <w:rPr>
                <w:rFonts w:ascii="Times New Roman" w:cs="Times New Roman" w:eastAsia="Times New Roman" w:hAnsi="Times New Roman"/>
                <w:sz w:val="20"/>
                <w:szCs w:val="20"/>
                <w:color w:val="0000FF"/>
              </w:rPr>
              <w:t>129,182</w:t>
            </w:r>
            <w:r>
              <w:rPr>
                <w:rFonts w:ascii="Times New Roman" w:cs="Times New Roman" w:eastAsia="Times New Roman" w:hAnsi="Times New Roman"/>
                <w:sz w:val="25"/>
                <w:szCs w:val="25"/>
                <w:color w:val="008000"/>
                <w:vertAlign w:val="superscript"/>
              </w:rPr>
              <w:t>(1)</w:t>
            </w:r>
          </w:p>
        </w:tc>
        <w:tc>
          <w:tcPr>
            <w:tcW w:w="84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8"/>
              </w:rPr>
              <w:t>Employee Share Option (Right to</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06/08/2032</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37,505</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ind w:left="8"/>
              <w:spacing w:after="0"/>
              <w:rPr>
                <w:sz w:val="20"/>
                <w:szCs w:val="20"/>
                <w:color w:val="auto"/>
              </w:rPr>
            </w:pPr>
            <w:r>
              <w:rPr>
                <w:rFonts w:ascii="Times New Roman" w:cs="Times New Roman" w:eastAsia="Times New Roman" w:hAnsi="Times New Roman"/>
                <w:sz w:val="20"/>
                <w:szCs w:val="20"/>
                <w:color w:val="0000FF"/>
                <w:w w:val="97"/>
              </w:rPr>
              <w:t>Shares</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8"/>
              </w:rPr>
              <w:t>Employee Share Option (Right to</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03/15/2033</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11,133</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ind w:left="8"/>
              <w:spacing w:after="0"/>
              <w:rPr>
                <w:sz w:val="20"/>
                <w:szCs w:val="20"/>
                <w:color w:val="auto"/>
              </w:rPr>
            </w:pPr>
            <w:r>
              <w:rPr>
                <w:rFonts w:ascii="Times New Roman" w:cs="Times New Roman" w:eastAsia="Times New Roman" w:hAnsi="Times New Roman"/>
                <w:sz w:val="20"/>
                <w:szCs w:val="20"/>
                <w:color w:val="0000FF"/>
                <w:w w:val="97"/>
              </w:rPr>
              <w:t>Shares</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8"/>
              </w:rPr>
              <w:t>Employee Share Option (Right to</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06/18/2034</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90,000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3.38</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ind w:left="8"/>
              <w:spacing w:after="0"/>
              <w:rPr>
                <w:sz w:val="20"/>
                <w:szCs w:val="20"/>
                <w:color w:val="auto"/>
              </w:rPr>
            </w:pPr>
            <w:r>
              <w:rPr>
                <w:rFonts w:ascii="Times New Roman" w:cs="Times New Roman" w:eastAsia="Times New Roman" w:hAnsi="Times New Roman"/>
                <w:sz w:val="20"/>
                <w:szCs w:val="20"/>
                <w:color w:val="0000FF"/>
                <w:w w:val="97"/>
              </w:rPr>
              <w:t>Shares</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8"/>
              </w:rPr>
              <w:t>Employee Share Option (Right to</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02/27/2035</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81,150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1.2</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ind w:left="8"/>
              <w:spacing w:after="0"/>
              <w:rPr>
                <w:sz w:val="20"/>
                <w:szCs w:val="20"/>
                <w:color w:val="auto"/>
              </w:rPr>
            </w:pPr>
            <w:r>
              <w:rPr>
                <w:rFonts w:ascii="Times New Roman" w:cs="Times New Roman" w:eastAsia="Times New Roman" w:hAnsi="Times New Roman"/>
                <w:sz w:val="20"/>
                <w:szCs w:val="20"/>
                <w:color w:val="0000FF"/>
                <w:w w:val="97"/>
              </w:rPr>
              <w:t>Shares</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8"/>
              </w:rPr>
              <w:t>Employee Share Option (Right to</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04/01/2036</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66,220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6.03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ind w:left="8"/>
              <w:spacing w:after="0"/>
              <w:rPr>
                <w:sz w:val="20"/>
                <w:szCs w:val="20"/>
                <w:color w:val="auto"/>
              </w:rPr>
            </w:pPr>
            <w:r>
              <w:rPr>
                <w:rFonts w:ascii="Times New Roman" w:cs="Times New Roman" w:eastAsia="Times New Roman" w:hAnsi="Times New Roman"/>
                <w:sz w:val="20"/>
                <w:szCs w:val="20"/>
                <w:color w:val="0000FF"/>
                <w:w w:val="97"/>
              </w:rPr>
              <w:t>Shares</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32,296 shares underlying restricted stock units ("RSUs"). Each RSU represents the contingent right to receive one share of common stock of the Issuer. The RSUs shall vest in full on May 18, 2027, subject to the Reporting Person's continuous service through such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Immediately exercisable.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$0.83732</w:t>
      </w:r>
    </w:p>
    <w:p>
      <w:pPr>
        <w:spacing w:after="0" w:line="52"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fourth (1/4) of the shares subject to the option award vested on March 15, 2024 and the remaining shares subject to the option vested or shall vest in thirty-six (36) monthly installments thereafter on the last day of the month, subject to the Reporting Person's continuous service through such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$1.19593</w:t>
      </w:r>
    </w:p>
    <w:p>
      <w:pPr>
        <w:spacing w:after="0" w:line="52" w:lineRule="exact"/>
        <w:rPr>
          <w:rFonts w:ascii="Times New Roman" w:cs="Times New Roman" w:eastAsia="Times New Roman" w:hAnsi="Times New Roman"/>
          <w:sz w:val="15"/>
          <w:szCs w:val="15"/>
          <w:color w:val="008000"/>
        </w:rPr>
      </w:pPr>
    </w:p>
    <w:p>
      <w:pPr>
        <w:ind w:left="40" w:right="6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fourth (1/4) of the shares subject to the option award vested on June 18, 2025 and the remaining shares subject to the option vested or shall vest in twelve (12) equal quarterly installments thereafter, subject to the Reporting Person's continuous service through such vesting date.</w:t>
      </w:r>
    </w:p>
    <w:p>
      <w:pPr>
        <w:spacing w:after="0" w:line="17" w:lineRule="exact"/>
        <w:rPr>
          <w:rFonts w:ascii="Times New Roman" w:cs="Times New Roman" w:eastAsia="Times New Roman" w:hAnsi="Times New Roman"/>
          <w:sz w:val="15"/>
          <w:szCs w:val="15"/>
          <w:color w:val="008000"/>
        </w:rPr>
      </w:pPr>
    </w:p>
    <w:p>
      <w:pPr>
        <w:ind w:left="40" w:right="3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fourth (1/4) of the shares subject to the option award vested on February 27, 2026 and the remaining shares subject to the option vested or shall vest in twelve (12) equal quarterly installments thereafter, subject to the Reporting Person's continuous service through such vesting date.</w:t>
      </w:r>
    </w:p>
    <w:p>
      <w:pPr>
        <w:spacing w:after="0" w:line="17" w:lineRule="exact"/>
        <w:rPr>
          <w:rFonts w:ascii="Times New Roman" w:cs="Times New Roman" w:eastAsia="Times New Roman" w:hAnsi="Times New Roman"/>
          <w:sz w:val="15"/>
          <w:szCs w:val="15"/>
          <w:color w:val="008000"/>
        </w:rPr>
      </w:pPr>
    </w:p>
    <w:p>
      <w:pPr>
        <w:ind w:left="40" w:right="4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fourth (1/4) of the shares subject to the option award shall vest on April 1, 2027 and the remaining shares subject to the option shall vest in twelve (12) equal quarterly installments thereafter, subject to the Reporting Person's continuous service through such vesting date.</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230"/>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Kim Davis, Attorney-</w:t>
            </w:r>
          </w:p>
        </w:tc>
        <w:tc>
          <w:tcPr>
            <w:tcW w:w="24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6"/>
              </w:rPr>
              <w:t>06/22/2026</w:t>
            </w:r>
          </w:p>
        </w:tc>
        <w:tc>
          <w:tcPr>
            <w:tcW w:w="0" w:type="dxa"/>
            <w:vAlign w:val="bottom"/>
          </w:tcPr>
          <w:p>
            <w:pPr>
              <w:spacing w:after="0"/>
              <w:rPr>
                <w:sz w:val="1"/>
                <w:szCs w:val="1"/>
                <w:color w:val="auto"/>
              </w:rPr>
            </w:pPr>
          </w:p>
        </w:tc>
      </w:tr>
      <w:tr>
        <w:trPr>
          <w:trHeight w:val="105"/>
        </w:trPr>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4"/>
          <w:szCs w:val="24"/>
          <w:color w:val="auto"/>
        </w:rPr>
      </w:pPr>
    </w:p>
    <w:p>
      <w:pPr>
        <w:sectPr>
          <w:pgSz w:w="11900" w:h="16838" w:orient="portrait"/>
          <w:cols w:equalWidth="0" w:num="1">
            <w:col w:w="10940"/>
          </w:cols>
          <w:pgMar w:left="480" w:top="230" w:right="479" w:bottom="0" w:gutter="0" w:footer="0" w:header="0"/>
          <w:type w:val="continuous"/>
        </w:sectPr>
      </w:pPr>
    </w:p>
    <w:p>
      <w:pPr>
        <w:ind w:left="6580"/>
        <w:spacing w:after="0"/>
        <w:tabs>
          <w:tab w:leader="none" w:pos="8740" w:val="left"/>
        </w:tabs>
        <w:rPr>
          <w:sz w:val="20"/>
          <w:szCs w:val="20"/>
          <w:color w:val="auto"/>
        </w:rPr>
      </w:pPr>
      <w:r>
        <w:rPr>
          <w:rFonts w:ascii="Arial" w:cs="Arial" w:eastAsia="Arial" w:hAnsi="Arial"/>
          <w:sz w:val="15"/>
          <w:szCs w:val="15"/>
          <w:color w:val="auto"/>
        </w:rPr>
        <w:t>** Signature of Reporting</w:t>
      </w:r>
      <w:r>
        <w:rPr>
          <w:sz w:val="20"/>
          <w:szCs w:val="20"/>
          <w:color w:val="auto"/>
        </w:rPr>
        <w:tab/>
      </w:r>
      <w:r>
        <w:rPr>
          <w:rFonts w:ascii="Arial" w:cs="Arial" w:eastAsia="Arial" w:hAnsi="Arial"/>
          <w:sz w:val="15"/>
          <w:szCs w:val="15"/>
          <w:color w:val="auto"/>
        </w:rPr>
        <w:t>Date</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5"/>
          <w:szCs w:val="15"/>
          <w:color w:val="auto"/>
        </w:rPr>
        <w:t>Person</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264" w:lineRule="exact"/>
        <w:rPr>
          <w:sz w:val="20"/>
          <w:szCs w:val="20"/>
          <w:color w:val="auto"/>
        </w:rPr>
      </w:pPr>
    </w:p>
    <w:p>
      <w:pPr>
        <w:jc w:val="both"/>
        <w:ind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Kim Davis and Lindsey McClelland of Zura Bio Limited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signing individually, the undersigned's true and lawful attorneys-in-fact and agents to:</w:t>
      </w:r>
    </w:p>
    <w:p>
      <w:pPr>
        <w:spacing w:after="0" w:line="218" w:lineRule="exact"/>
        <w:rPr>
          <w:sz w:val="20"/>
          <w:szCs w:val="20"/>
          <w:color w:val="auto"/>
        </w:rPr>
      </w:pPr>
    </w:p>
    <w:p>
      <w:pPr>
        <w:jc w:val="both"/>
        <w:ind w:firstLine="916"/>
        <w:spacing w:after="0" w:line="242" w:lineRule="auto"/>
        <w:tabs>
          <w:tab w:leader="none" w:pos="1803"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Securities and Exchange Commission (the "</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Forms 3, 4 and 5 (including amendments thereto and joint filing agreements in connection therewith)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in the undersigned's capacity as an officer, director or beneficial owner of more than 10% of a registered class of securities of the Company;</w:t>
      </w:r>
    </w:p>
    <w:p>
      <w:pPr>
        <w:spacing w:after="0" w:line="229" w:lineRule="exact"/>
        <w:rPr>
          <w:rFonts w:ascii="Times New Roman" w:cs="Times New Roman" w:eastAsia="Times New Roman" w:hAnsi="Times New Roman"/>
          <w:sz w:val="24"/>
          <w:szCs w:val="24"/>
          <w:color w:val="auto"/>
        </w:rPr>
      </w:pPr>
    </w:p>
    <w:p>
      <w:pPr>
        <w:jc w:val="both"/>
        <w:ind w:firstLine="916"/>
        <w:spacing w:after="0" w:line="245" w:lineRule="auto"/>
        <w:tabs>
          <w:tab w:leader="none" w:pos="1803"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and execute Forms 3, 4 or 5 (including amendments thereto and joint filing agreements in connection therewith) and file such forms with the SEC and any stock exchange, self-regulatory association or any similar authority; and</w:t>
      </w:r>
    </w:p>
    <w:p>
      <w:pPr>
        <w:spacing w:after="0" w:line="223" w:lineRule="exact"/>
        <w:rPr>
          <w:rFonts w:ascii="Times New Roman" w:cs="Times New Roman" w:eastAsia="Times New Roman" w:hAnsi="Times New Roman"/>
          <w:sz w:val="24"/>
          <w:szCs w:val="24"/>
          <w:color w:val="auto"/>
        </w:rPr>
      </w:pPr>
    </w:p>
    <w:p>
      <w:pPr>
        <w:jc w:val="both"/>
        <w:ind w:firstLine="916"/>
        <w:spacing w:after="0" w:line="242" w:lineRule="auto"/>
        <w:tabs>
          <w:tab w:leader="none" w:pos="1803"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78" w:lineRule="exact"/>
        <w:rPr>
          <w:sz w:val="20"/>
          <w:szCs w:val="20"/>
          <w:color w:val="auto"/>
        </w:rPr>
      </w:pPr>
    </w:p>
    <w:tbl>
      <w:tblPr>
        <w:tblLayout w:type="fixed"/>
        <w:tblInd w:w="600" w:type="dxa"/>
        <w:tblCellMar>
          <w:top w:w="0" w:type="dxa"/>
          <w:left w:w="0" w:type="dxa"/>
          <w:bottom w:w="0" w:type="dxa"/>
          <w:right w:w="0" w:type="dxa"/>
        </w:tblCellMar>
      </w:tblPr>
      <w:tr>
        <w:trPr>
          <w:trHeight w:val="26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2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April 20, 2026</w:t>
            </w:r>
          </w:p>
        </w:tc>
        <w:tc>
          <w:tcPr>
            <w:tcW w:w="2460" w:type="dxa"/>
            <w:vAlign w:val="bottom"/>
          </w:tcPr>
          <w:p>
            <w:pPr>
              <w:spacing w:after="0"/>
              <w:rPr>
                <w:sz w:val="22"/>
                <w:szCs w:val="22"/>
                <w:color w:val="auto"/>
              </w:rPr>
            </w:pPr>
          </w:p>
        </w:tc>
        <w:tc>
          <w:tcPr>
            <w:tcW w:w="4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Marlyn T. Mathew</w:t>
            </w:r>
          </w:p>
        </w:tc>
      </w:tr>
      <w:tr>
        <w:trPr>
          <w:trHeight w:val="255"/>
        </w:trPr>
        <w:tc>
          <w:tcPr>
            <w:tcW w:w="7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4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Name: Marlyn T. Mathew</w:t>
            </w:r>
          </w:p>
        </w:tc>
      </w:tr>
    </w:tbl>
    <w:p>
      <w:pPr>
        <w:spacing w:after="0" w:line="1" w:lineRule="exact"/>
        <w:rPr>
          <w:sz w:val="20"/>
          <w:szCs w:val="20"/>
          <w:color w:val="auto"/>
        </w:rPr>
      </w:pP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7663" TargetMode="External"/><Relationship Id="rId11" Type="http://schemas.openxmlformats.org/officeDocument/2006/relationships/hyperlink" Target="http://www.sec.gov/cgi-bin/browse-edgar?action=getcompany&amp;CIK=0001855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2026-06-22T16:24:53Z</dcterms:created>
  <dcterms:modified xsi:type="dcterms:W3CDTF">2026-06-22T16:24:53Z</dcterms:modified>
</cp:coreProperties>
</file>